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B8" w:rsidRPr="005F22B8" w:rsidRDefault="005F22B8" w:rsidP="005F22B8">
      <w:r w:rsidRPr="005F22B8">
        <w:rPr>
          <w:b/>
          <w:bCs/>
        </w:rPr>
        <w:t xml:space="preserve">2.1 </w:t>
      </w:r>
      <w:r w:rsidRPr="005F22B8">
        <w:rPr>
          <w:rFonts w:hint="eastAsia"/>
        </w:rPr>
        <w:t>車両諸元</w:t>
      </w:r>
      <w:r w:rsidRPr="005F22B8">
        <w:rPr>
          <w:b/>
          <w:bCs/>
        </w:rPr>
        <w:t xml:space="preserve">1 </w:t>
      </w:r>
      <w:r w:rsidRPr="005F22B8">
        <w:rPr>
          <w:rFonts w:ascii="Cambria Math" w:hAnsi="Cambria Math" w:cs="Cambria Math"/>
          <w:b/>
          <w:bCs/>
          <w:i/>
          <w:iCs/>
        </w:rPr>
        <w:t>⃝</w:t>
      </w:r>
      <w:r w:rsidRPr="005F22B8">
        <w:rPr>
          <w:b/>
          <w:bCs/>
          <w:i/>
          <w:iCs/>
        </w:rPr>
        <w:t xml:space="preserve"> </w:t>
      </w:r>
      <w:r w:rsidRPr="005F22B8">
        <w:rPr>
          <w:rFonts w:hint="eastAsia"/>
        </w:rPr>
        <w:t>（目標重量とトレッドとダウンフォース）</w:t>
      </w:r>
    </w:p>
    <w:p w:rsidR="005F22B8" w:rsidRPr="005F22B8" w:rsidRDefault="005F22B8" w:rsidP="005F22B8">
      <w:r w:rsidRPr="005F22B8">
        <w:rPr>
          <w:rFonts w:hint="eastAsia"/>
        </w:rPr>
        <w:t>まず，定常領域でタイムを短縮するための評価指標を考察した．タイムの</w:t>
      </w:r>
    </w:p>
    <w:p w:rsidR="005F22B8" w:rsidRPr="005F22B8" w:rsidRDefault="005F22B8" w:rsidP="005F22B8">
      <w:r w:rsidRPr="005F22B8">
        <w:rPr>
          <w:rFonts w:hint="eastAsia"/>
        </w:rPr>
        <w:t>短縮区間である実際のエンデュランスコースにおけるコーナーではコーナーの</w:t>
      </w:r>
    </w:p>
    <w:p w:rsidR="005F22B8" w:rsidRPr="005F22B8" w:rsidRDefault="005F22B8" w:rsidP="005F22B8">
      <w:r w:rsidRPr="005F22B8">
        <w:rPr>
          <w:rFonts w:hint="eastAsia"/>
        </w:rPr>
        <w:t>半径が一定でも車両は基本的にアウトインアウトのラインをとりドライバーや</w:t>
      </w:r>
    </w:p>
    <w:p w:rsidR="005F22B8" w:rsidRPr="005F22B8" w:rsidRDefault="005F22B8" w:rsidP="005F22B8">
      <w:r w:rsidRPr="005F22B8">
        <w:rPr>
          <w:rFonts w:hint="eastAsia"/>
        </w:rPr>
        <w:t>ライン取りの違いから一定した評価を行うことは難しいと考え，定常領域では</w:t>
      </w:r>
    </w:p>
    <w:p w:rsidR="005F22B8" w:rsidRPr="005F22B8" w:rsidRDefault="005F22B8" w:rsidP="005F22B8">
      <w:r w:rsidRPr="005F22B8">
        <w:rPr>
          <w:rFonts w:hint="eastAsia"/>
        </w:rPr>
        <w:t>比較的ドライバーの差や条件が安定しやすいスキッドパッドを評価指標とする</w:t>
      </w:r>
    </w:p>
    <w:p w:rsidR="005F22B8" w:rsidRPr="005F22B8" w:rsidRDefault="005F22B8" w:rsidP="005F22B8">
      <w:r w:rsidRPr="005F22B8">
        <w:rPr>
          <w:rFonts w:hint="eastAsia"/>
        </w:rPr>
        <w:t>ことが最適であると考えた．そこで目標とするエンデュランス順位とスキッド</w:t>
      </w:r>
    </w:p>
    <w:p w:rsidR="005F22B8" w:rsidRPr="005F22B8" w:rsidRDefault="005F22B8" w:rsidP="005F22B8">
      <w:r w:rsidRPr="005F22B8">
        <w:rPr>
          <w:rFonts w:hint="eastAsia"/>
        </w:rPr>
        <w:t>パッドの順位を比較するとある一定の相関関係がみられた（</w:t>
      </w:r>
      <w:r w:rsidRPr="005F22B8">
        <w:t>Fig.1</w:t>
      </w:r>
      <w:r w:rsidRPr="005F22B8">
        <w:rPr>
          <w:rFonts w:hint="eastAsia"/>
        </w:rPr>
        <w:t>）．そこで</w:t>
      </w:r>
    </w:p>
    <w:p w:rsidR="005F22B8" w:rsidRPr="005F22B8" w:rsidRDefault="005F22B8" w:rsidP="005F22B8">
      <w:r w:rsidRPr="005F22B8">
        <w:rPr>
          <w:rFonts w:hint="eastAsia"/>
        </w:rPr>
        <w:t>チーム目標を達成できるスキッドパッドの目標タイムを算出すると</w:t>
      </w:r>
      <w:r w:rsidRPr="005F22B8">
        <w:t>5.15 sec</w:t>
      </w:r>
    </w:p>
    <w:p w:rsidR="005F22B8" w:rsidRPr="005F22B8" w:rsidRDefault="005F22B8" w:rsidP="005F22B8">
      <w:r w:rsidRPr="005F22B8">
        <w:rPr>
          <w:rFonts w:hint="eastAsia"/>
        </w:rPr>
        <w:t>（昨年比</w:t>
      </w:r>
      <w:r w:rsidRPr="005F22B8">
        <w:t>-0.19 sec</w:t>
      </w:r>
      <w:r w:rsidRPr="005F22B8">
        <w:rPr>
          <w:rFonts w:hint="eastAsia"/>
        </w:rPr>
        <w:t>）となった．</w:t>
      </w:r>
    </w:p>
    <w:p w:rsidR="005F22B8" w:rsidRPr="005F22B8" w:rsidRDefault="005F22B8" w:rsidP="005F22B8">
      <w:r w:rsidRPr="005F22B8">
        <w:rPr>
          <w:rFonts w:hint="eastAsia"/>
        </w:rPr>
        <w:t>スキッドパッド</w:t>
      </w:r>
      <w:r w:rsidRPr="005F22B8">
        <w:t xml:space="preserve">5.15 sec </w:t>
      </w:r>
      <w:r w:rsidRPr="005F22B8">
        <w:rPr>
          <w:rFonts w:hint="eastAsia"/>
        </w:rPr>
        <w:t>を達成するためのタイム短縮のパラメータとして</w:t>
      </w:r>
    </w:p>
    <w:p w:rsidR="005F22B8" w:rsidRPr="005F22B8" w:rsidRDefault="005F22B8" w:rsidP="005F22B8">
      <w:r w:rsidRPr="005F22B8">
        <w:rPr>
          <w:rFonts w:hint="eastAsia"/>
        </w:rPr>
        <w:t>車両重量</w:t>
      </w:r>
      <w:r w:rsidRPr="005F22B8">
        <w:t>kg</w:t>
      </w:r>
      <w:r w:rsidRPr="005F22B8">
        <w:rPr>
          <w:rFonts w:hint="eastAsia"/>
        </w:rPr>
        <w:t>，前後トレッド</w:t>
      </w:r>
      <w:r w:rsidRPr="005F22B8">
        <w:t>mm</w:t>
      </w:r>
      <w:r w:rsidRPr="005F22B8">
        <w:rPr>
          <w:rFonts w:hint="eastAsia"/>
        </w:rPr>
        <w:t>，ダウンフォース（以下</w:t>
      </w:r>
      <w:r w:rsidRPr="005F22B8">
        <w:t>DF</w:t>
      </w:r>
      <w:r w:rsidRPr="005F22B8">
        <w:rPr>
          <w:rFonts w:hint="eastAsia"/>
        </w:rPr>
        <w:t>），タイヤ特性，</w:t>
      </w:r>
    </w:p>
    <w:p w:rsidR="005F22B8" w:rsidRPr="005F22B8" w:rsidRDefault="005F22B8" w:rsidP="005F22B8">
      <w:r w:rsidRPr="005F22B8">
        <w:rPr>
          <w:rFonts w:hint="eastAsia"/>
        </w:rPr>
        <w:t>前後重量比が挙げられる．その中から</w:t>
      </w:r>
      <w:r w:rsidRPr="005F22B8">
        <w:t>kg</w:t>
      </w:r>
      <w:r w:rsidRPr="005F22B8">
        <w:rPr>
          <w:rFonts w:hint="eastAsia"/>
        </w:rPr>
        <w:t>，</w:t>
      </w:r>
      <w:r w:rsidRPr="005F22B8">
        <w:t>mm</w:t>
      </w:r>
      <w:r w:rsidRPr="005F22B8">
        <w:rPr>
          <w:rFonts w:hint="eastAsia"/>
        </w:rPr>
        <w:t>，</w:t>
      </w:r>
      <w:r w:rsidRPr="005F22B8">
        <w:t xml:space="preserve">DF </w:t>
      </w:r>
      <w:r w:rsidRPr="005F22B8">
        <w:rPr>
          <w:rFonts w:hint="eastAsia"/>
        </w:rPr>
        <w:t>に着目しスキッドパッ</w:t>
      </w:r>
    </w:p>
    <w:p w:rsidR="005F22B8" w:rsidRPr="005F22B8" w:rsidRDefault="005F22B8" w:rsidP="005F22B8">
      <w:r w:rsidRPr="005F22B8">
        <w:rPr>
          <w:rFonts w:hint="eastAsia"/>
        </w:rPr>
        <w:t>ドにおけるタイムシミュレーションからそれぞれのパラメータにおいてどの</w:t>
      </w:r>
    </w:p>
    <w:p w:rsidR="005F22B8" w:rsidRPr="005F22B8" w:rsidRDefault="005F22B8" w:rsidP="005F22B8">
      <w:r w:rsidRPr="005F22B8">
        <w:rPr>
          <w:rFonts w:hint="eastAsia"/>
        </w:rPr>
        <w:t>くらいタイムを短縮できるか考察したところ（</w:t>
      </w:r>
      <w:r w:rsidRPr="005F22B8">
        <w:t>Fig.2</w:t>
      </w:r>
      <w:r w:rsidRPr="005F22B8">
        <w:rPr>
          <w:rFonts w:hint="eastAsia"/>
        </w:rPr>
        <w:t>，</w:t>
      </w:r>
      <w:r w:rsidRPr="005F22B8">
        <w:t>Fig.3</w:t>
      </w:r>
      <w:r w:rsidRPr="005F22B8">
        <w:rPr>
          <w:rFonts w:hint="eastAsia"/>
        </w:rPr>
        <w:t>，</w:t>
      </w:r>
      <w:r w:rsidRPr="005F22B8">
        <w:t>Fig.4</w:t>
      </w:r>
      <w:r w:rsidRPr="005F22B8">
        <w:rPr>
          <w:rFonts w:hint="eastAsia"/>
        </w:rPr>
        <w:t>），軽量</w:t>
      </w:r>
    </w:p>
    <w:p w:rsidR="005F22B8" w:rsidRPr="005F22B8" w:rsidRDefault="005F22B8" w:rsidP="005F22B8">
      <w:r w:rsidRPr="005F22B8">
        <w:rPr>
          <w:rFonts w:hint="eastAsia"/>
        </w:rPr>
        <w:t>化のタイムへの影響は</w:t>
      </w:r>
      <w:r w:rsidRPr="005F22B8">
        <w:t>0.003 sec/kg</w:t>
      </w:r>
      <w:r w:rsidRPr="005F22B8">
        <w:rPr>
          <w:rFonts w:hint="eastAsia"/>
        </w:rPr>
        <w:t>，</w:t>
      </w:r>
      <w:r w:rsidRPr="005F22B8">
        <w:t xml:space="preserve">DF </w:t>
      </w:r>
      <w:r w:rsidRPr="005F22B8">
        <w:rPr>
          <w:rFonts w:hint="eastAsia"/>
        </w:rPr>
        <w:t>におけるタイムへの影響は</w:t>
      </w:r>
      <w:r w:rsidRPr="005F22B8">
        <w:t>0.0006</w:t>
      </w:r>
    </w:p>
    <w:p w:rsidR="005F22B8" w:rsidRPr="005F22B8" w:rsidRDefault="005F22B8" w:rsidP="005F22B8">
      <w:pPr>
        <w:rPr>
          <w:rFonts w:hint="eastAsia"/>
          <w:highlight w:val="yellow"/>
          <w:shd w:val="pct15" w:color="auto" w:fill="FFFFFF"/>
        </w:rPr>
      </w:pPr>
      <w:r w:rsidRPr="005F22B8">
        <w:t>sec/N</w:t>
      </w:r>
      <w:r>
        <w:rPr>
          <w:rFonts w:hint="eastAsia"/>
        </w:rPr>
        <w:t>，</w:t>
      </w:r>
      <w:r w:rsidRPr="005F22B8">
        <w:rPr>
          <w:rFonts w:hint="eastAsia"/>
          <w:highlight w:val="yellow"/>
          <w:shd w:val="pct15" w:color="auto" w:fill="FFFFFF"/>
        </w:rPr>
        <w:t>トレッド短縮によるパイロン幅寄せではタイムは短縮できずコーナリン</w:t>
      </w:r>
    </w:p>
    <w:p w:rsidR="005F22B8" w:rsidRDefault="005F22B8" w:rsidP="005F22B8">
      <w:pPr>
        <w:rPr>
          <w:rFonts w:hint="eastAsia"/>
          <w:shd w:val="pct15" w:color="auto" w:fill="FFFFFF"/>
        </w:rPr>
      </w:pPr>
      <w:r w:rsidRPr="005F22B8">
        <w:rPr>
          <w:rFonts w:hint="eastAsia"/>
          <w:highlight w:val="yellow"/>
          <w:shd w:val="pct15" w:color="auto" w:fill="FFFFFF"/>
        </w:rPr>
        <w:t>グ</w:t>
      </w:r>
      <w:r w:rsidR="002F340C">
        <w:rPr>
          <w:rFonts w:hint="eastAsia"/>
          <w:highlight w:val="yellow"/>
          <w:shd w:val="pct15" w:color="auto" w:fill="FFFFFF"/>
        </w:rPr>
        <w:t>フォー</w:t>
      </w:r>
      <w:r w:rsidRPr="005F22B8">
        <w:rPr>
          <w:rFonts w:hint="eastAsia"/>
          <w:highlight w:val="yellow"/>
          <w:shd w:val="pct15" w:color="auto" w:fill="FFFFFF"/>
        </w:rPr>
        <w:t>の非線形性から逆にタイムは</w:t>
      </w:r>
      <w:r>
        <w:rPr>
          <w:rFonts w:hint="eastAsia"/>
          <w:highlight w:val="yellow"/>
          <w:shd w:val="pct15" w:color="auto" w:fill="FFFFFF"/>
        </w:rPr>
        <w:t>0.0003sec/mm</w:t>
      </w:r>
      <w:r>
        <w:rPr>
          <w:rFonts w:hint="eastAsia"/>
          <w:highlight w:val="yellow"/>
          <w:shd w:val="pct15" w:color="auto" w:fill="FFFFFF"/>
        </w:rPr>
        <w:t>の割合で</w:t>
      </w:r>
      <w:r w:rsidRPr="005F22B8">
        <w:rPr>
          <w:rFonts w:hint="eastAsia"/>
          <w:highlight w:val="yellow"/>
          <w:shd w:val="pct15" w:color="auto" w:fill="FFFFFF"/>
        </w:rPr>
        <w:t>増加した．</w:t>
      </w:r>
    </w:p>
    <w:p w:rsidR="005F22B8" w:rsidRPr="005F22B8" w:rsidRDefault="005F22B8" w:rsidP="005F22B8">
      <w:r w:rsidRPr="005F22B8">
        <w:rPr>
          <w:rFonts w:hint="eastAsia"/>
          <w:highlight w:val="yellow"/>
        </w:rPr>
        <w:t>前述の影響とオートクロス、エンデュランスのパイロンコースを勘案し</w:t>
      </w:r>
    </w:p>
    <w:p w:rsidR="005F22B8" w:rsidRPr="005F22B8" w:rsidRDefault="005F22B8" w:rsidP="005F22B8">
      <w:r w:rsidRPr="005F22B8">
        <w:rPr>
          <w:rFonts w:hint="eastAsia"/>
        </w:rPr>
        <w:t>最大値の</w:t>
      </w:r>
      <w:r w:rsidRPr="005F22B8">
        <w:t>F=1200 [mm]</w:t>
      </w:r>
      <w:r w:rsidRPr="005F22B8">
        <w:rPr>
          <w:rFonts w:hint="eastAsia"/>
        </w:rPr>
        <w:t>，</w:t>
      </w:r>
      <w:r w:rsidRPr="005F22B8">
        <w:t xml:space="preserve">R=1200 [mm] </w:t>
      </w:r>
      <w:r w:rsidRPr="005F22B8">
        <w:rPr>
          <w:rFonts w:hint="eastAsia"/>
        </w:rPr>
        <w:t>とした．次に，空力デバイス搭載に</w:t>
      </w:r>
    </w:p>
    <w:p w:rsidR="005F22B8" w:rsidRPr="005F22B8" w:rsidRDefault="005F22B8" w:rsidP="005F22B8">
      <w:r w:rsidRPr="005F22B8">
        <w:rPr>
          <w:rFonts w:hint="eastAsia"/>
        </w:rPr>
        <w:t>おける</w:t>
      </w:r>
      <w:r w:rsidRPr="005F22B8">
        <w:t xml:space="preserve">DF </w:t>
      </w:r>
      <w:r w:rsidRPr="005F22B8">
        <w:rPr>
          <w:rFonts w:hint="eastAsia"/>
        </w:rPr>
        <w:t>増とそれに伴う重量増のメリットデメリットを勘案したところ</w:t>
      </w:r>
      <w:r w:rsidRPr="005F22B8">
        <w:t>4.5</w:t>
      </w:r>
    </w:p>
    <w:p w:rsidR="005F22B8" w:rsidRPr="005F22B8" w:rsidRDefault="005F22B8" w:rsidP="005F22B8">
      <w:r w:rsidRPr="005F22B8">
        <w:t>N/kg</w:t>
      </w:r>
      <w:r w:rsidRPr="005F22B8">
        <w:rPr>
          <w:rFonts w:hint="eastAsia"/>
        </w:rPr>
        <w:t>（得られる</w:t>
      </w:r>
      <w:r w:rsidRPr="005F22B8">
        <w:t>DF/</w:t>
      </w:r>
      <w:r w:rsidRPr="005F22B8">
        <w:rPr>
          <w:rFonts w:hint="eastAsia"/>
        </w:rPr>
        <w:t>空力デバイスの重量）以上の</w:t>
      </w:r>
      <w:r w:rsidRPr="005F22B8">
        <w:t xml:space="preserve">DF </w:t>
      </w:r>
      <w:r w:rsidRPr="005F22B8">
        <w:rPr>
          <w:rFonts w:hint="eastAsia"/>
        </w:rPr>
        <w:t>を発生できると空力</w:t>
      </w:r>
    </w:p>
    <w:p w:rsidR="005F22B8" w:rsidRPr="005F22B8" w:rsidRDefault="005F22B8" w:rsidP="005F22B8">
      <w:r w:rsidRPr="005F22B8">
        <w:rPr>
          <w:rFonts w:hint="eastAsia"/>
        </w:rPr>
        <w:t>デバイス搭載によるメリットが大きくなることがわかった．製作によって達成</w:t>
      </w:r>
    </w:p>
    <w:p w:rsidR="005F22B8" w:rsidRPr="005F22B8" w:rsidRDefault="005F22B8" w:rsidP="005F22B8">
      <w:r w:rsidRPr="005F22B8">
        <w:rPr>
          <w:rFonts w:hint="eastAsia"/>
        </w:rPr>
        <w:t>可能なエアロ重量を</w:t>
      </w:r>
      <w:r w:rsidRPr="005F22B8">
        <w:t>21 kg</w:t>
      </w:r>
      <w:r w:rsidRPr="005F22B8">
        <w:rPr>
          <w:rFonts w:hint="eastAsia"/>
        </w:rPr>
        <w:t>（</w:t>
      </w:r>
      <w:r w:rsidRPr="005F22B8">
        <w:t xml:space="preserve">Fr. </w:t>
      </w:r>
      <w:r w:rsidRPr="005F22B8">
        <w:rPr>
          <w:rFonts w:hint="eastAsia"/>
        </w:rPr>
        <w:t>ウイング：</w:t>
      </w:r>
      <w:r w:rsidRPr="005F22B8">
        <w:t>16 kg</w:t>
      </w:r>
      <w:r w:rsidRPr="005F22B8">
        <w:rPr>
          <w:rFonts w:hint="eastAsia"/>
        </w:rPr>
        <w:t>，サイドポンツーン：</w:t>
      </w:r>
      <w:r w:rsidRPr="005F22B8">
        <w:t>5 kg</w:t>
      </w:r>
      <w:r w:rsidRPr="005F22B8">
        <w:rPr>
          <w:rFonts w:hint="eastAsia"/>
        </w:rPr>
        <w:t>）</w:t>
      </w:r>
    </w:p>
    <w:p w:rsidR="005F22B8" w:rsidRPr="005F22B8" w:rsidRDefault="005F22B8" w:rsidP="005F22B8">
      <w:r w:rsidRPr="005F22B8">
        <w:rPr>
          <w:rFonts w:hint="eastAsia"/>
        </w:rPr>
        <w:t>とし，前述のタイムへの影響（</w:t>
      </w:r>
      <w:r w:rsidRPr="005F22B8">
        <w:t>DF/Mass</w:t>
      </w:r>
      <w:r w:rsidRPr="005F22B8">
        <w:rPr>
          <w:rFonts w:hint="eastAsia"/>
        </w:rPr>
        <w:t>（</w:t>
      </w:r>
      <w:r w:rsidRPr="005F22B8">
        <w:t>wing</w:t>
      </w:r>
      <w:r w:rsidRPr="005F22B8">
        <w:rPr>
          <w:rFonts w:hint="eastAsia"/>
        </w:rPr>
        <w:t>））を考慮して</w:t>
      </w:r>
      <w:r w:rsidRPr="005F22B8">
        <w:t xml:space="preserve">DF </w:t>
      </w:r>
      <w:r w:rsidRPr="005F22B8">
        <w:rPr>
          <w:rFonts w:hint="eastAsia"/>
        </w:rPr>
        <w:t>目標を輪</w:t>
      </w:r>
    </w:p>
    <w:p w:rsidR="005F22B8" w:rsidRPr="005F22B8" w:rsidRDefault="005F22B8" w:rsidP="005F22B8">
      <w:r w:rsidRPr="005F22B8">
        <w:rPr>
          <w:rFonts w:hint="eastAsia"/>
        </w:rPr>
        <w:t>荷重</w:t>
      </w:r>
      <w:r w:rsidRPr="005F22B8">
        <w:t xml:space="preserve">150 N </w:t>
      </w:r>
      <w:r w:rsidRPr="005F22B8">
        <w:rPr>
          <w:rFonts w:hint="eastAsia"/>
        </w:rPr>
        <w:t>＠</w:t>
      </w:r>
      <w:r w:rsidRPr="005F22B8">
        <w:t xml:space="preserve"> 35-40 km/h </w:t>
      </w:r>
      <w:r w:rsidRPr="005F22B8">
        <w:rPr>
          <w:rFonts w:hint="eastAsia"/>
        </w:rPr>
        <w:t>とした．これにより約</w:t>
      </w:r>
      <w:r w:rsidRPr="005F22B8">
        <w:t xml:space="preserve">0.1 sec </w:t>
      </w:r>
      <w:r w:rsidRPr="005F22B8">
        <w:rPr>
          <w:rFonts w:hint="eastAsia"/>
        </w:rPr>
        <w:t>の短縮が可能であ</w:t>
      </w:r>
    </w:p>
    <w:p w:rsidR="005F22B8" w:rsidRPr="005F22B8" w:rsidRDefault="005F22B8" w:rsidP="005F22B8">
      <w:r w:rsidRPr="005F22B8">
        <w:rPr>
          <w:rFonts w:hint="eastAsia"/>
        </w:rPr>
        <w:t>る．さらにウイング搭載における重量増分の軽量化を考慮したところ（</w:t>
      </w:r>
      <w:r w:rsidRPr="005F22B8">
        <w:t>Fig.5</w:t>
      </w:r>
      <w:r w:rsidRPr="005F22B8">
        <w:rPr>
          <w:rFonts w:hint="eastAsia"/>
        </w:rPr>
        <w:t>）</w:t>
      </w:r>
    </w:p>
    <w:p w:rsidR="005F22B8" w:rsidRPr="005F22B8" w:rsidRDefault="005F22B8" w:rsidP="005F22B8">
      <w:r w:rsidRPr="005F22B8">
        <w:rPr>
          <w:rFonts w:hint="eastAsia"/>
        </w:rPr>
        <w:t>全体でこれを達成可能であると判断し，目標重量をウイング搭載で同等近くま</w:t>
      </w:r>
    </w:p>
    <w:p w:rsidR="005C4CED" w:rsidRPr="005F22B8" w:rsidRDefault="005F22B8" w:rsidP="005F22B8">
      <w:r w:rsidRPr="005F22B8">
        <w:rPr>
          <w:rFonts w:hint="eastAsia"/>
        </w:rPr>
        <w:t>で抑える（</w:t>
      </w:r>
      <w:r w:rsidRPr="005F22B8">
        <w:t>250 kg</w:t>
      </w:r>
      <w:r w:rsidRPr="005F22B8">
        <w:rPr>
          <w:rFonts w:hint="eastAsia"/>
        </w:rPr>
        <w:t>）ことにした．これにより約</w:t>
      </w:r>
      <w:r w:rsidRPr="005F22B8">
        <w:t xml:space="preserve">0.03 sec </w:t>
      </w:r>
      <w:r w:rsidRPr="005F22B8">
        <w:rPr>
          <w:rFonts w:hint="eastAsia"/>
        </w:rPr>
        <w:t>の短縮が可能である．</w:t>
      </w:r>
    </w:p>
    <w:p w:rsidR="005F22B8" w:rsidRPr="005F22B8" w:rsidRDefault="005F22B8" w:rsidP="005F22B8">
      <w:r w:rsidRPr="005F22B8">
        <w:rPr>
          <w:b/>
          <w:bCs/>
        </w:rPr>
        <w:t xml:space="preserve">2.2 </w:t>
      </w:r>
      <w:r w:rsidRPr="005F22B8">
        <w:rPr>
          <w:rFonts w:hint="eastAsia"/>
        </w:rPr>
        <w:t>車両諸元</w:t>
      </w:r>
      <w:r w:rsidRPr="005F22B8">
        <w:rPr>
          <w:b/>
          <w:bCs/>
        </w:rPr>
        <w:t xml:space="preserve">2 </w:t>
      </w:r>
      <w:r w:rsidRPr="005F22B8">
        <w:rPr>
          <w:rFonts w:ascii="Cambria Math" w:hAnsi="Cambria Math" w:cs="Cambria Math"/>
          <w:b/>
          <w:bCs/>
          <w:i/>
          <w:iCs/>
        </w:rPr>
        <w:t>⃝</w:t>
      </w:r>
      <w:r w:rsidRPr="005F22B8">
        <w:rPr>
          <w:b/>
          <w:bCs/>
          <w:i/>
          <w:iCs/>
        </w:rPr>
        <w:t xml:space="preserve"> </w:t>
      </w:r>
      <w:r w:rsidRPr="005F22B8">
        <w:rPr>
          <w:rFonts w:hint="eastAsia"/>
        </w:rPr>
        <w:t>（前後重量比とホイールベース）</w:t>
      </w:r>
    </w:p>
    <w:p w:rsidR="005F22B8" w:rsidRPr="005F22B8" w:rsidRDefault="005F22B8" w:rsidP="005F22B8">
      <w:r w:rsidRPr="005F22B8">
        <w:rPr>
          <w:rFonts w:hint="eastAsia"/>
        </w:rPr>
        <w:t>前後重量比はスキッドパッドなどの定常領域だけを考慮すると</w:t>
      </w:r>
      <w:r w:rsidRPr="005F22B8">
        <w:t xml:space="preserve">50:50 </w:t>
      </w:r>
      <w:r w:rsidRPr="005F22B8">
        <w:rPr>
          <w:rFonts w:hint="eastAsia"/>
        </w:rPr>
        <w:t>が最</w:t>
      </w:r>
    </w:p>
    <w:p w:rsidR="005F22B8" w:rsidRPr="005F22B8" w:rsidRDefault="005F22B8" w:rsidP="005F22B8">
      <w:r w:rsidRPr="005F22B8">
        <w:rPr>
          <w:rFonts w:hint="eastAsia"/>
        </w:rPr>
        <w:t>適であるが，エンデュランスコースは多くの複合コーナーと直線区間もあり，</w:t>
      </w:r>
    </w:p>
    <w:p w:rsidR="005F22B8" w:rsidRPr="005F22B8" w:rsidRDefault="005F22B8" w:rsidP="005F22B8">
      <w:r w:rsidRPr="005F22B8">
        <w:rPr>
          <w:rFonts w:hint="eastAsia"/>
        </w:rPr>
        <w:t>荷重移動量を考慮すると</w:t>
      </w:r>
      <w:r w:rsidRPr="005F22B8">
        <w:t xml:space="preserve">45:55 </w:t>
      </w:r>
      <w:r w:rsidRPr="005F22B8">
        <w:rPr>
          <w:rFonts w:hint="eastAsia"/>
        </w:rPr>
        <w:t>が最適であると判断した．</w:t>
      </w:r>
    </w:p>
    <w:p w:rsidR="005F22B8" w:rsidRPr="005F22B8" w:rsidRDefault="005F22B8" w:rsidP="005F22B8">
      <w:r w:rsidRPr="005F22B8">
        <w:rPr>
          <w:rFonts w:hint="eastAsia"/>
        </w:rPr>
        <w:t>ホイールベースは過渡領域であるパイロンスラローム区間において</w:t>
      </w:r>
      <w:r w:rsidRPr="005F22B8">
        <w:t>1.8 sec</w:t>
      </w:r>
    </w:p>
    <w:p w:rsidR="005F22B8" w:rsidRPr="005F22B8" w:rsidRDefault="005F22B8" w:rsidP="005F22B8">
      <w:r w:rsidRPr="005F22B8">
        <w:rPr>
          <w:rFonts w:hint="eastAsia"/>
        </w:rPr>
        <w:t>のタイムを短縮が達成できる値とする．パイロンスラロームにおいてタイムを</w:t>
      </w:r>
    </w:p>
    <w:p w:rsidR="005F22B8" w:rsidRPr="005F22B8" w:rsidRDefault="005F22B8" w:rsidP="005F22B8">
      <w:r w:rsidRPr="005F22B8">
        <w:rPr>
          <w:rFonts w:hint="eastAsia"/>
        </w:rPr>
        <w:t>短縮するためにはヨー角加速度に注目すべきであると考えた．車が旋回を開始</w:t>
      </w:r>
    </w:p>
    <w:p w:rsidR="005F22B8" w:rsidRPr="005F22B8" w:rsidRDefault="005F22B8" w:rsidP="005F22B8">
      <w:r w:rsidRPr="005F22B8">
        <w:rPr>
          <w:rFonts w:hint="eastAsia"/>
        </w:rPr>
        <w:lastRenderedPageBreak/>
        <w:t>するメカニズムはドライバーがステアリングを操舵しフロントタイヤにスリッ</w:t>
      </w:r>
    </w:p>
    <w:p w:rsidR="005F22B8" w:rsidRPr="005F22B8" w:rsidRDefault="005F22B8" w:rsidP="005F22B8">
      <w:r w:rsidRPr="005F22B8">
        <w:rPr>
          <w:rFonts w:hint="eastAsia"/>
        </w:rPr>
        <w:t>プアングルが付きコーナリングフォース（以下</w:t>
      </w:r>
      <w:r w:rsidRPr="005F22B8">
        <w:t>CF</w:t>
      </w:r>
      <w:r w:rsidRPr="005F22B8">
        <w:rPr>
          <w:rFonts w:hint="eastAsia"/>
        </w:rPr>
        <w:t>）を発生しヨー角加速度の</w:t>
      </w:r>
    </w:p>
    <w:p w:rsidR="005F22B8" w:rsidRPr="005F22B8" w:rsidRDefault="005F22B8" w:rsidP="005F22B8">
      <w:r w:rsidRPr="005F22B8">
        <w:rPr>
          <w:rFonts w:hint="eastAsia"/>
        </w:rPr>
        <w:t>発生で車体がヨー運動を開始する．このヨー角加速度を大きくすると車両向き</w:t>
      </w:r>
    </w:p>
    <w:p w:rsidR="005F22B8" w:rsidRPr="005F22B8" w:rsidRDefault="005F22B8" w:rsidP="005F22B8">
      <w:r w:rsidRPr="005F22B8">
        <w:rPr>
          <w:rFonts w:hint="eastAsia"/>
        </w:rPr>
        <w:t>変えが速くなりパイロンスラロームのように車両の向き変えが多いセクション</w:t>
      </w:r>
    </w:p>
    <w:p w:rsidR="005F22B8" w:rsidRPr="005F22B8" w:rsidRDefault="005F22B8" w:rsidP="005F22B8">
      <w:r w:rsidRPr="005F22B8">
        <w:rPr>
          <w:rFonts w:hint="eastAsia"/>
        </w:rPr>
        <w:t>ではヨー増加によるメリットは大きくなると考えた．ヨー角方向の運動方程式</w:t>
      </w:r>
    </w:p>
    <w:p w:rsidR="005F22B8" w:rsidRPr="005F22B8" w:rsidRDefault="005F22B8" w:rsidP="005F22B8">
      <w:r w:rsidRPr="005F22B8">
        <w:rPr>
          <w:rFonts w:hint="eastAsia"/>
        </w:rPr>
        <w:t>は次の式で表せる．</w:t>
      </w:r>
    </w:p>
    <w:p w:rsidR="005F22B8" w:rsidRPr="005F22B8" w:rsidRDefault="005F22B8" w:rsidP="005F22B8">
      <w:r w:rsidRPr="005F22B8">
        <w:rPr>
          <w:i/>
          <w:iCs/>
        </w:rPr>
        <w:t xml:space="preserve">IZ </w:t>
      </w:r>
      <w:r w:rsidRPr="005F22B8">
        <w:t xml:space="preserve"> </w:t>
      </w:r>
      <w:r w:rsidRPr="005F22B8">
        <w:rPr>
          <w:i/>
          <w:iCs/>
        </w:rPr>
        <w:t xml:space="preserve">  </w:t>
      </w:r>
      <w:r w:rsidRPr="005F22B8">
        <w:t xml:space="preserve">= </w:t>
      </w:r>
      <w:r w:rsidRPr="005F22B8">
        <w:rPr>
          <w:i/>
          <w:iCs/>
        </w:rPr>
        <w:t xml:space="preserve">MZ </w:t>
      </w:r>
      <w:r w:rsidRPr="005F22B8">
        <w:t>(1)</w:t>
      </w:r>
    </w:p>
    <w:p w:rsidR="005F22B8" w:rsidRPr="005F22B8" w:rsidRDefault="005F22B8" w:rsidP="005F22B8">
      <w:r w:rsidRPr="005F22B8">
        <w:rPr>
          <w:rFonts w:hint="eastAsia"/>
        </w:rPr>
        <w:t>（</w:t>
      </w:r>
      <w:r w:rsidRPr="005F22B8">
        <w:rPr>
          <w:i/>
          <w:iCs/>
        </w:rPr>
        <w:t>IZ</w:t>
      </w:r>
      <w:r w:rsidRPr="005F22B8">
        <w:rPr>
          <w:rFonts w:hint="eastAsia"/>
        </w:rPr>
        <w:t>：慣性モーメント，</w:t>
      </w:r>
      <w:r w:rsidRPr="005F22B8">
        <w:t xml:space="preserve">  </w:t>
      </w:r>
      <w:r w:rsidRPr="005F22B8">
        <w:rPr>
          <w:i/>
          <w:iCs/>
        </w:rPr>
        <w:t xml:space="preserve"> </w:t>
      </w:r>
      <w:r w:rsidRPr="005F22B8">
        <w:rPr>
          <w:rFonts w:hint="eastAsia"/>
        </w:rPr>
        <w:t>：ヨー角加速度，</w:t>
      </w:r>
      <w:r w:rsidRPr="005F22B8">
        <w:rPr>
          <w:i/>
          <w:iCs/>
        </w:rPr>
        <w:t>MZ</w:t>
      </w:r>
      <w:r w:rsidRPr="005F22B8">
        <w:rPr>
          <w:rFonts w:hint="eastAsia"/>
        </w:rPr>
        <w:t>：タイヤが発生するモーメント）</w:t>
      </w:r>
    </w:p>
    <w:p w:rsidR="005F22B8" w:rsidRPr="005F22B8" w:rsidRDefault="005F22B8" w:rsidP="005F22B8">
      <w:r w:rsidRPr="005F22B8">
        <w:rPr>
          <w:rFonts w:hint="eastAsia"/>
        </w:rPr>
        <w:t>式</w:t>
      </w:r>
      <w:r w:rsidRPr="005F22B8">
        <w:t xml:space="preserve">1 </w:t>
      </w:r>
      <w:r w:rsidRPr="005F22B8">
        <w:rPr>
          <w:rFonts w:hint="eastAsia"/>
        </w:rPr>
        <w:t>より次の式が得られる．</w:t>
      </w:r>
    </w:p>
    <w:p w:rsidR="005F22B8" w:rsidRPr="005F22B8" w:rsidRDefault="005F22B8" w:rsidP="005F22B8">
      <w:r w:rsidRPr="005F22B8">
        <w:t xml:space="preserve"> </w:t>
      </w:r>
      <w:r w:rsidRPr="005F22B8">
        <w:rPr>
          <w:i/>
          <w:iCs/>
        </w:rPr>
        <w:t xml:space="preserve">  </w:t>
      </w:r>
      <w:r w:rsidRPr="005F22B8">
        <w:t>=</w:t>
      </w:r>
    </w:p>
    <w:p w:rsidR="005F22B8" w:rsidRPr="005F22B8" w:rsidRDefault="005F22B8" w:rsidP="005F22B8">
      <w:pPr>
        <w:rPr>
          <w:i/>
          <w:iCs/>
        </w:rPr>
      </w:pPr>
      <w:r w:rsidRPr="005F22B8">
        <w:rPr>
          <w:i/>
          <w:iCs/>
        </w:rPr>
        <w:t>MZ</w:t>
      </w:r>
    </w:p>
    <w:p w:rsidR="005F22B8" w:rsidRPr="005F22B8" w:rsidRDefault="005F22B8" w:rsidP="005F22B8">
      <w:pPr>
        <w:rPr>
          <w:i/>
          <w:iCs/>
        </w:rPr>
      </w:pPr>
      <w:r w:rsidRPr="005F22B8">
        <w:rPr>
          <w:i/>
          <w:iCs/>
        </w:rPr>
        <w:t>IZ</w:t>
      </w:r>
    </w:p>
    <w:p w:rsidR="005F22B8" w:rsidRPr="005F22B8" w:rsidRDefault="005F22B8" w:rsidP="005F22B8">
      <w:r w:rsidRPr="005F22B8">
        <w:t>(2)</w:t>
      </w:r>
    </w:p>
    <w:p w:rsidR="005F22B8" w:rsidRPr="005F22B8" w:rsidRDefault="005F22B8" w:rsidP="005F22B8">
      <w:r w:rsidRPr="005F22B8">
        <w:rPr>
          <w:rFonts w:hint="eastAsia"/>
        </w:rPr>
        <w:t>ヨー角加速度を大きくするためには</w:t>
      </w:r>
      <w:r w:rsidRPr="005F22B8">
        <w:rPr>
          <w:i/>
          <w:iCs/>
        </w:rPr>
        <w:t xml:space="preserve">MZ </w:t>
      </w:r>
      <w:r w:rsidRPr="005F22B8">
        <w:rPr>
          <w:rFonts w:hint="eastAsia"/>
        </w:rPr>
        <w:t>を大きくするか，</w:t>
      </w:r>
      <w:r w:rsidRPr="005F22B8">
        <w:rPr>
          <w:i/>
          <w:iCs/>
        </w:rPr>
        <w:t xml:space="preserve">IZ </w:t>
      </w:r>
      <w:r w:rsidRPr="005F22B8">
        <w:rPr>
          <w:rFonts w:hint="eastAsia"/>
        </w:rPr>
        <w:t>を小さくする必</w:t>
      </w:r>
    </w:p>
    <w:p w:rsidR="005F22B8" w:rsidRPr="005F22B8" w:rsidRDefault="005F22B8" w:rsidP="005F22B8">
      <w:r w:rsidRPr="005F22B8">
        <w:rPr>
          <w:rFonts w:hint="eastAsia"/>
        </w:rPr>
        <w:t>要がある．</w:t>
      </w:r>
    </w:p>
    <w:p w:rsidR="005F22B8" w:rsidRPr="005F22B8" w:rsidRDefault="005F22B8" w:rsidP="005F22B8">
      <w:r w:rsidRPr="005F22B8">
        <w:rPr>
          <w:rFonts w:hint="eastAsia"/>
        </w:rPr>
        <w:t>今年度マシンはウィングの搭載が決まっており重心からホイールより遠い</w:t>
      </w:r>
    </w:p>
    <w:p w:rsidR="005F22B8" w:rsidRPr="005F22B8" w:rsidRDefault="005F22B8" w:rsidP="005F22B8">
      <w:r w:rsidRPr="005F22B8">
        <w:rPr>
          <w:rFonts w:hint="eastAsia"/>
        </w:rPr>
        <w:t>位置に重量の約</w:t>
      </w:r>
      <w:r w:rsidRPr="005F22B8">
        <w:t>7 %</w:t>
      </w:r>
      <w:r w:rsidRPr="005F22B8">
        <w:rPr>
          <w:rFonts w:hint="eastAsia"/>
        </w:rPr>
        <w:t>を占める部品が配置されるためヨー角加速度が小さくな</w:t>
      </w:r>
    </w:p>
    <w:p w:rsidR="005F22B8" w:rsidRPr="005F22B8" w:rsidRDefault="005F22B8" w:rsidP="005F22B8">
      <w:r w:rsidRPr="005F22B8">
        <w:rPr>
          <w:rFonts w:hint="eastAsia"/>
        </w:rPr>
        <w:t>ることが予測される．このヨー角加速度の減少をできるだけ小さく抑えること</w:t>
      </w:r>
    </w:p>
    <w:p w:rsidR="005F22B8" w:rsidRPr="005F22B8" w:rsidRDefault="005F22B8" w:rsidP="005F22B8">
      <w:r w:rsidRPr="005F22B8">
        <w:rPr>
          <w:rFonts w:hint="eastAsia"/>
        </w:rPr>
        <w:t>とした．そのために</w:t>
      </w:r>
      <w:r w:rsidRPr="005F22B8">
        <w:rPr>
          <w:i/>
          <w:iCs/>
        </w:rPr>
        <w:t xml:space="preserve">MZ </w:t>
      </w:r>
      <w:r w:rsidRPr="005F22B8">
        <w:rPr>
          <w:rFonts w:hint="eastAsia"/>
        </w:rPr>
        <w:t>の増大（ホイールベースの延長）を行う．</w:t>
      </w:r>
      <w:r w:rsidRPr="005F22B8">
        <w:t xml:space="preserve">KS-13 </w:t>
      </w:r>
      <w:r w:rsidRPr="005F22B8">
        <w:rPr>
          <w:rFonts w:hint="eastAsia"/>
        </w:rPr>
        <w:t>に</w:t>
      </w:r>
    </w:p>
    <w:p w:rsidR="005F22B8" w:rsidRPr="005F22B8" w:rsidRDefault="005F22B8" w:rsidP="005F22B8">
      <w:r w:rsidRPr="005F22B8">
        <w:rPr>
          <w:rFonts w:hint="eastAsia"/>
        </w:rPr>
        <w:t>おいて</w:t>
      </w:r>
      <w:r w:rsidRPr="005C4CED">
        <w:rPr>
          <w:highlight w:val="yellow"/>
        </w:rPr>
        <w:t xml:space="preserve">1700 mm </w:t>
      </w:r>
      <w:r w:rsidRPr="005C4CED">
        <w:rPr>
          <w:rFonts w:hint="eastAsia"/>
          <w:highlight w:val="yellow"/>
        </w:rPr>
        <w:t>まで拡大してもオートクロスやエンデュランス走行に</w:t>
      </w:r>
      <w:r w:rsidR="005C4CED" w:rsidRPr="005C4CED">
        <w:rPr>
          <w:rFonts w:hint="eastAsia"/>
          <w:highlight w:val="yellow"/>
        </w:rPr>
        <w:t>おけるパイロンタッチのリスクはない事は分かっている</w:t>
      </w:r>
      <w:r w:rsidRPr="005C4CED">
        <w:rPr>
          <w:rFonts w:hint="eastAsia"/>
          <w:highlight w:val="yellow"/>
        </w:rPr>
        <w:t>．</w:t>
      </w:r>
      <w:r w:rsidRPr="005F22B8">
        <w:t xml:space="preserve">2017 </w:t>
      </w:r>
      <w:r w:rsidRPr="005F22B8">
        <w:rPr>
          <w:rFonts w:hint="eastAsia"/>
        </w:rPr>
        <w:t>年</w:t>
      </w:r>
    </w:p>
    <w:p w:rsidR="005F22B8" w:rsidRPr="005F22B8" w:rsidRDefault="005F22B8" w:rsidP="005F22B8">
      <w:r w:rsidRPr="005F22B8">
        <w:rPr>
          <w:rFonts w:hint="eastAsia"/>
        </w:rPr>
        <w:t>度のオートクロスの順位からホイールベースとタイムの相関性を調べたところ</w:t>
      </w:r>
    </w:p>
    <w:p w:rsidR="005F22B8" w:rsidRPr="005C4CED" w:rsidRDefault="005F22B8" w:rsidP="005F22B8">
      <w:pPr>
        <w:rPr>
          <w:highlight w:val="yellow"/>
        </w:rPr>
      </w:pPr>
      <w:r w:rsidRPr="005F22B8">
        <w:rPr>
          <w:rFonts w:hint="eastAsia"/>
        </w:rPr>
        <w:t>（</w:t>
      </w:r>
      <w:r w:rsidRPr="005F22B8">
        <w:t>Fig.6</w:t>
      </w:r>
      <w:r w:rsidRPr="005F22B8">
        <w:rPr>
          <w:rFonts w:hint="eastAsia"/>
        </w:rPr>
        <w:t>）ホイールベース延長によるデメリットは小さいと考え</w:t>
      </w:r>
      <w:r w:rsidRPr="005C4CED">
        <w:rPr>
          <w:rFonts w:hint="eastAsia"/>
          <w:highlight w:val="yellow"/>
        </w:rPr>
        <w:t>今年度はホイー</w:t>
      </w:r>
    </w:p>
    <w:p w:rsidR="005F22B8" w:rsidRPr="005F22B8" w:rsidRDefault="005F22B8" w:rsidP="005F22B8">
      <w:r w:rsidRPr="005C4CED">
        <w:rPr>
          <w:rFonts w:hint="eastAsia"/>
          <w:highlight w:val="yellow"/>
        </w:rPr>
        <w:t>ルベース</w:t>
      </w:r>
      <w:r w:rsidR="005C4CED" w:rsidRPr="005C4CED">
        <w:rPr>
          <w:rFonts w:hint="eastAsia"/>
          <w:highlight w:val="yellow"/>
        </w:rPr>
        <w:t>をベンチマークとするチームと同等程度の</w:t>
      </w:r>
      <w:r w:rsidRPr="005C4CED">
        <w:rPr>
          <w:highlight w:val="yellow"/>
        </w:rPr>
        <w:t xml:space="preserve">1720 mm </w:t>
      </w:r>
      <w:r w:rsidRPr="005C4CED">
        <w:rPr>
          <w:rFonts w:hint="eastAsia"/>
          <w:highlight w:val="yellow"/>
        </w:rPr>
        <w:t>とする．</w:t>
      </w:r>
    </w:p>
    <w:p w:rsidR="005F22B8" w:rsidRPr="005F22B8" w:rsidRDefault="005F22B8" w:rsidP="005F22B8">
      <w:r w:rsidRPr="005F22B8">
        <w:rPr>
          <w:b/>
          <w:bCs/>
        </w:rPr>
        <w:t xml:space="preserve">2.3 </w:t>
      </w:r>
      <w:r w:rsidRPr="005F22B8">
        <w:rPr>
          <w:rFonts w:hint="eastAsia"/>
        </w:rPr>
        <w:t>タイヤ選定</w:t>
      </w:r>
    </w:p>
    <w:p w:rsidR="005F22B8" w:rsidRPr="005F22B8" w:rsidRDefault="005F22B8" w:rsidP="005F22B8">
      <w:r w:rsidRPr="005F22B8">
        <w:rPr>
          <w:rFonts w:hint="eastAsia"/>
        </w:rPr>
        <w:t>タイヤ選定にあたってはホイール径</w:t>
      </w:r>
      <w:r w:rsidRPr="005F22B8">
        <w:t xml:space="preserve">10 inch </w:t>
      </w:r>
      <w:r w:rsidRPr="005F22B8">
        <w:rPr>
          <w:rFonts w:hint="eastAsia"/>
        </w:rPr>
        <w:t>と</w:t>
      </w:r>
      <w:r w:rsidRPr="005F22B8">
        <w:t xml:space="preserve">13 inch </w:t>
      </w:r>
      <w:r w:rsidRPr="005F22B8">
        <w:rPr>
          <w:rFonts w:hint="eastAsia"/>
        </w:rPr>
        <w:t>の</w:t>
      </w:r>
      <w:r w:rsidRPr="005F22B8">
        <w:t xml:space="preserve">2 </w:t>
      </w:r>
      <w:r w:rsidRPr="005F22B8">
        <w:rPr>
          <w:rFonts w:hint="eastAsia"/>
        </w:rPr>
        <w:t>サイズを検討</w:t>
      </w:r>
    </w:p>
    <w:p w:rsidR="005F22B8" w:rsidRPr="005F22B8" w:rsidRDefault="005F22B8" w:rsidP="005F22B8">
      <w:r w:rsidRPr="005F22B8">
        <w:rPr>
          <w:rFonts w:hint="eastAsia"/>
        </w:rPr>
        <w:t>した．</w:t>
      </w:r>
      <w:r w:rsidRPr="005F22B8">
        <w:t xml:space="preserve">10 </w:t>
      </w:r>
      <w:r w:rsidRPr="005F22B8">
        <w:rPr>
          <w:rFonts w:hint="eastAsia"/>
        </w:rPr>
        <w:t>インチホイールのメリットは軽量化である．</w:t>
      </w:r>
      <w:r w:rsidRPr="005F22B8">
        <w:t xml:space="preserve">13 inch </w:t>
      </w:r>
      <w:r w:rsidRPr="005F22B8">
        <w:rPr>
          <w:rFonts w:hint="eastAsia"/>
        </w:rPr>
        <w:t>と</w:t>
      </w:r>
      <w:r w:rsidRPr="005F22B8">
        <w:t xml:space="preserve">10 inch </w:t>
      </w:r>
      <w:r w:rsidRPr="005F22B8">
        <w:rPr>
          <w:rFonts w:hint="eastAsia"/>
        </w:rPr>
        <w:t>の</w:t>
      </w:r>
    </w:p>
    <w:p w:rsidR="005F22B8" w:rsidRPr="005F22B8" w:rsidRDefault="005F22B8" w:rsidP="005F22B8">
      <w:r w:rsidRPr="005F22B8">
        <w:rPr>
          <w:rFonts w:hint="eastAsia"/>
        </w:rPr>
        <w:t>重量を比較すると</w:t>
      </w:r>
      <w:r w:rsidRPr="005F22B8">
        <w:t xml:space="preserve">4 </w:t>
      </w:r>
      <w:r w:rsidRPr="005F22B8">
        <w:rPr>
          <w:rFonts w:hint="eastAsia"/>
        </w:rPr>
        <w:t>輪で</w:t>
      </w:r>
      <w:r w:rsidRPr="005F22B8">
        <w:t xml:space="preserve">6.91 kg </w:t>
      </w:r>
      <w:r w:rsidRPr="005F22B8">
        <w:rPr>
          <w:rFonts w:hint="eastAsia"/>
        </w:rPr>
        <w:t>の軽量化が見込まれる．しかし，タイヤデー</w:t>
      </w:r>
    </w:p>
    <w:p w:rsidR="005F22B8" w:rsidRPr="005F22B8" w:rsidRDefault="005F22B8" w:rsidP="005F22B8">
      <w:r w:rsidRPr="005F22B8">
        <w:rPr>
          <w:rFonts w:hint="eastAsia"/>
        </w:rPr>
        <w:t>タを比較すると</w:t>
      </w:r>
      <w:r w:rsidRPr="005F22B8">
        <w:t xml:space="preserve">CP </w:t>
      </w:r>
      <w:r w:rsidRPr="005F22B8">
        <w:rPr>
          <w:rFonts w:hint="eastAsia"/>
        </w:rPr>
        <w:t>やホイール内部の設計自由度減少の観点，さらに新規設</w:t>
      </w:r>
    </w:p>
    <w:p w:rsidR="005F22B8" w:rsidRPr="005F22B8" w:rsidRDefault="005F22B8" w:rsidP="005F22B8">
      <w:r w:rsidRPr="005F22B8">
        <w:rPr>
          <w:rFonts w:hint="eastAsia"/>
        </w:rPr>
        <w:t>計部品の増加による設計期間の延長が考えられる事から慣性モーメント低減や</w:t>
      </w:r>
    </w:p>
    <w:p w:rsidR="005F22B8" w:rsidRPr="005F22B8" w:rsidRDefault="005F22B8" w:rsidP="005F22B8">
      <w:r w:rsidRPr="005F22B8">
        <w:rPr>
          <w:rFonts w:hint="eastAsia"/>
        </w:rPr>
        <w:t>その他メリットは小さいと考え小さなスリップアングルで大きな</w:t>
      </w:r>
      <w:r w:rsidRPr="005F22B8">
        <w:t xml:space="preserve">CF </w:t>
      </w:r>
      <w:r w:rsidRPr="005F22B8">
        <w:rPr>
          <w:rFonts w:hint="eastAsia"/>
        </w:rPr>
        <w:t>を生み</w:t>
      </w:r>
    </w:p>
    <w:p w:rsidR="005F22B8" w:rsidRPr="005F22B8" w:rsidRDefault="005F22B8" w:rsidP="005F22B8">
      <w:r w:rsidRPr="005F22B8">
        <w:rPr>
          <w:rFonts w:hint="eastAsia"/>
        </w:rPr>
        <w:t>出す</w:t>
      </w:r>
      <w:r w:rsidRPr="005F22B8">
        <w:t xml:space="preserve">13 inch Hoosier20.5-7.0/13 </w:t>
      </w:r>
      <w:r w:rsidRPr="005F22B8">
        <w:rPr>
          <w:rFonts w:hint="eastAsia"/>
        </w:rPr>
        <w:t>とした．</w:t>
      </w:r>
    </w:p>
    <w:p w:rsidR="005F22B8" w:rsidRPr="005F22B8" w:rsidRDefault="005F22B8" w:rsidP="005F22B8">
      <w:r w:rsidRPr="005F22B8">
        <w:rPr>
          <w:b/>
          <w:bCs/>
        </w:rPr>
        <w:t xml:space="preserve">2.4 </w:t>
      </w:r>
      <w:r w:rsidRPr="005F22B8">
        <w:rPr>
          <w:rFonts w:hint="eastAsia"/>
        </w:rPr>
        <w:t>サスペンションジオメトリ</w:t>
      </w:r>
    </w:p>
    <w:p w:rsidR="005F22B8" w:rsidRPr="005F22B8" w:rsidRDefault="005F22B8" w:rsidP="005F22B8">
      <w:r w:rsidRPr="005F22B8">
        <w:rPr>
          <w:rFonts w:hint="eastAsia"/>
        </w:rPr>
        <w:t>スキッドパッド目標タイム，またスラロームでの目標を達成する為に空力</w:t>
      </w:r>
    </w:p>
    <w:p w:rsidR="005F22B8" w:rsidRPr="005F22B8" w:rsidRDefault="005F22B8" w:rsidP="005F22B8">
      <w:r w:rsidRPr="005F22B8">
        <w:rPr>
          <w:rFonts w:hint="eastAsia"/>
        </w:rPr>
        <w:t>デバイスの搭載を考慮した設計を行う．また，設計期間短縮のためにジオメト</w:t>
      </w:r>
    </w:p>
    <w:p w:rsidR="005F22B8" w:rsidRPr="005F22B8" w:rsidRDefault="005F22B8" w:rsidP="005F22B8">
      <w:r w:rsidRPr="005F22B8">
        <w:rPr>
          <w:rFonts w:hint="eastAsia"/>
        </w:rPr>
        <w:t>リ目標値（主に，キャンバーチェンジ，トーチェンジ）を成績，ドライバーと</w:t>
      </w:r>
    </w:p>
    <w:p w:rsidR="005F22B8" w:rsidRPr="005F22B8" w:rsidRDefault="005F22B8" w:rsidP="005F22B8">
      <w:r w:rsidRPr="005F22B8">
        <w:rPr>
          <w:rFonts w:hint="eastAsia"/>
        </w:rPr>
        <w:lastRenderedPageBreak/>
        <w:t>もに感触が良好であった</w:t>
      </w:r>
      <w:r w:rsidRPr="005F22B8">
        <w:t xml:space="preserve">KS-13 </w:t>
      </w:r>
      <w:r w:rsidRPr="005F22B8">
        <w:rPr>
          <w:rFonts w:hint="eastAsia"/>
        </w:rPr>
        <w:t>と同等程度と設定し，小変更があっても目標</w:t>
      </w:r>
    </w:p>
    <w:p w:rsidR="005F22B8" w:rsidRPr="005F22B8" w:rsidRDefault="005F22B8" w:rsidP="005F22B8">
      <w:r w:rsidRPr="005F22B8">
        <w:rPr>
          <w:rFonts w:hint="eastAsia"/>
        </w:rPr>
        <w:t>範囲であればジオメトリ設計変更を行わない方針をとった．</w:t>
      </w:r>
    </w:p>
    <w:p w:rsidR="005F22B8" w:rsidRPr="005F22B8" w:rsidRDefault="005F22B8" w:rsidP="005F22B8">
      <w:r w:rsidRPr="005F22B8">
        <w:rPr>
          <w:b/>
          <w:bCs/>
        </w:rPr>
        <w:t xml:space="preserve">2.5 </w:t>
      </w:r>
      <w:r w:rsidRPr="005F22B8">
        <w:rPr>
          <w:rFonts w:hint="eastAsia"/>
        </w:rPr>
        <w:t>レイアウト</w:t>
      </w:r>
    </w:p>
    <w:p w:rsidR="005F22B8" w:rsidRPr="005F22B8" w:rsidRDefault="005F22B8" w:rsidP="005F22B8">
      <w:r w:rsidRPr="005F22B8">
        <w:t xml:space="preserve">KS-14 </w:t>
      </w:r>
      <w:r w:rsidRPr="005F22B8">
        <w:rPr>
          <w:rFonts w:hint="eastAsia"/>
        </w:rPr>
        <w:t>ではフロントダンパー周辺の軽量化を狙い車体サイドに配置してい</w:t>
      </w:r>
    </w:p>
    <w:p w:rsidR="005F22B8" w:rsidRPr="005F22B8" w:rsidRDefault="005F22B8" w:rsidP="005F22B8">
      <w:r w:rsidRPr="005F22B8">
        <w:rPr>
          <w:rFonts w:hint="eastAsia"/>
        </w:rPr>
        <w:t>たが，ダンパー取り付け点がフロントフープブレースの結合点からほぼ中心</w:t>
      </w:r>
    </w:p>
    <w:p w:rsidR="005F22B8" w:rsidRPr="005F22B8" w:rsidRDefault="005F22B8" w:rsidP="005F22B8">
      <w:r w:rsidRPr="005F22B8">
        <w:rPr>
          <w:rFonts w:hint="eastAsia"/>
        </w:rPr>
        <w:t>の位置にあり，フレームが弾性変形していることで設計通りの動きが出来てい</w:t>
      </w:r>
    </w:p>
    <w:p w:rsidR="005F22B8" w:rsidRPr="005F22B8" w:rsidRDefault="005F22B8" w:rsidP="005F22B8">
      <w:r w:rsidRPr="005F22B8">
        <w:rPr>
          <w:rFonts w:hint="eastAsia"/>
        </w:rPr>
        <w:t>なったと考えられる．今年度はフロントダンパーは従来通り製作性を考慮して</w:t>
      </w:r>
    </w:p>
    <w:p w:rsidR="005F22B8" w:rsidRPr="005F22B8" w:rsidRDefault="005F22B8" w:rsidP="005F22B8">
      <w:r w:rsidRPr="005F22B8">
        <w:rPr>
          <w:rFonts w:hint="eastAsia"/>
        </w:rPr>
        <w:t>フロントセクションの上部に配置した．また，リアは空力デバイスを搭載しリ</w:t>
      </w:r>
    </w:p>
    <w:p w:rsidR="005F22B8" w:rsidRPr="005F22B8" w:rsidRDefault="005F22B8" w:rsidP="005F22B8">
      <w:r w:rsidRPr="005F22B8">
        <w:rPr>
          <w:rFonts w:hint="eastAsia"/>
        </w:rPr>
        <w:t>アウイングはばね下に搭載するためウイングロッド取り付け点の確保のため，</w:t>
      </w:r>
    </w:p>
    <w:p w:rsidR="005F22B8" w:rsidRPr="005F22B8" w:rsidRDefault="005F22B8" w:rsidP="005F22B8">
      <w:r w:rsidRPr="005F22B8">
        <w:rPr>
          <w:rFonts w:hint="eastAsia"/>
        </w:rPr>
        <w:t>またトーロッドにかかる力を減少させるためロアーアームにプッシュロッドを</w:t>
      </w:r>
    </w:p>
    <w:p w:rsidR="005F22B8" w:rsidRPr="005F22B8" w:rsidRDefault="005F22B8" w:rsidP="005F22B8">
      <w:r w:rsidRPr="005F22B8">
        <w:rPr>
          <w:rFonts w:hint="eastAsia"/>
        </w:rPr>
        <w:t>配置した．これによりプッシュロッドにかかる力を前年度比</w:t>
      </w:r>
      <w:r w:rsidRPr="005F22B8">
        <w:t>27.8 %</w:t>
      </w:r>
      <w:r w:rsidRPr="005F22B8">
        <w:rPr>
          <w:rFonts w:hint="eastAsia"/>
        </w:rPr>
        <w:t>減少させ，</w:t>
      </w:r>
    </w:p>
    <w:p w:rsidR="005F22B8" w:rsidRPr="005F22B8" w:rsidRDefault="005F22B8" w:rsidP="005F22B8">
      <w:r w:rsidRPr="005F22B8">
        <w:rPr>
          <w:rFonts w:hint="eastAsia"/>
        </w:rPr>
        <w:t>アッパーアームのガゼット小型化にも貢献した．</w:t>
      </w:r>
    </w:p>
    <w:p w:rsidR="005F22B8" w:rsidRPr="005F22B8" w:rsidRDefault="005F22B8" w:rsidP="005F22B8">
      <w:r w:rsidRPr="005F22B8">
        <w:rPr>
          <w:b/>
          <w:bCs/>
        </w:rPr>
        <w:t xml:space="preserve">2.6 </w:t>
      </w:r>
      <w:r w:rsidRPr="005F22B8">
        <w:rPr>
          <w:rFonts w:hint="eastAsia"/>
        </w:rPr>
        <w:t>ジオメトリ変化</w:t>
      </w:r>
    </w:p>
    <w:p w:rsidR="00F27D67" w:rsidRPr="005F22B8" w:rsidRDefault="005F22B8" w:rsidP="00F27D67">
      <w:r w:rsidRPr="005F22B8">
        <w:rPr>
          <w:rFonts w:hint="eastAsia"/>
        </w:rPr>
        <w:t>前述の通り，ジオメトリ変化の目標値には幅を待たせた．</w:t>
      </w:r>
      <w:r w:rsidR="00F27D67" w:rsidRPr="00F27D67">
        <w:rPr>
          <w:rFonts w:hint="eastAsia"/>
          <w:highlight w:val="yellow"/>
        </w:rPr>
        <w:t>今年度はフロントウイングが搭載され</w:t>
      </w:r>
      <w:r w:rsidR="006C5B09">
        <w:rPr>
          <w:rFonts w:hint="eastAsia"/>
          <w:highlight w:val="yellow"/>
        </w:rPr>
        <w:t>路面接触</w:t>
      </w:r>
      <w:r w:rsidR="00F27D67" w:rsidRPr="00F27D67">
        <w:rPr>
          <w:rFonts w:hint="eastAsia"/>
          <w:highlight w:val="yellow"/>
        </w:rPr>
        <w:t>のリスクも高まることからロール剛性を前年度より高めに設定しロール量を抑えていることからジオメトリ変化も小さくなる。</w:t>
      </w:r>
    </w:p>
    <w:p w:rsidR="005F22B8" w:rsidRPr="00F27D67" w:rsidRDefault="005F22B8" w:rsidP="005F22B8">
      <w:pPr>
        <w:rPr>
          <w:highlight w:val="yellow"/>
        </w:rPr>
      </w:pPr>
      <w:r w:rsidRPr="00F27D67">
        <w:rPr>
          <w:rFonts w:hint="eastAsia"/>
          <w:highlight w:val="yellow"/>
        </w:rPr>
        <w:t>キャンバー変化は旋回</w:t>
      </w:r>
      <w:r w:rsidR="007D1D22">
        <w:rPr>
          <w:rFonts w:hint="eastAsia"/>
          <w:highlight w:val="yellow"/>
        </w:rPr>
        <w:t>時に</w:t>
      </w:r>
      <w:r w:rsidRPr="00F27D67">
        <w:rPr>
          <w:rFonts w:hint="eastAsia"/>
          <w:highlight w:val="yellow"/>
        </w:rPr>
        <w:t>外輪が前後ともにポジティブにならないよう</w:t>
      </w:r>
      <w:r w:rsidR="007D1D22">
        <w:rPr>
          <w:rFonts w:hint="eastAsia"/>
          <w:highlight w:val="yellow"/>
        </w:rPr>
        <w:t>キャンバー角を</w:t>
      </w:r>
      <w:r w:rsidRPr="00F27D67">
        <w:rPr>
          <w:highlight w:val="yellow"/>
        </w:rPr>
        <w:t>-1</w:t>
      </w:r>
      <w:r w:rsidRPr="00F27D67">
        <w:rPr>
          <w:rFonts w:hint="eastAsia"/>
          <w:i/>
          <w:iCs/>
          <w:highlight w:val="yellow"/>
        </w:rPr>
        <w:t>◦</w:t>
      </w:r>
      <w:r w:rsidRPr="00F27D67">
        <w:rPr>
          <w:rFonts w:hint="eastAsia"/>
          <w:highlight w:val="yellow"/>
        </w:rPr>
        <w:t>～</w:t>
      </w:r>
      <w:r w:rsidRPr="00F27D67">
        <w:rPr>
          <w:highlight w:val="yellow"/>
        </w:rPr>
        <w:t>0</w:t>
      </w:r>
      <w:r w:rsidRPr="00F27D67">
        <w:rPr>
          <w:rFonts w:hint="eastAsia"/>
          <w:i/>
          <w:iCs/>
          <w:highlight w:val="yellow"/>
        </w:rPr>
        <w:t>◦</w:t>
      </w:r>
      <w:r w:rsidRPr="00F27D67">
        <w:rPr>
          <w:i/>
          <w:iCs/>
          <w:highlight w:val="yellow"/>
        </w:rPr>
        <w:t xml:space="preserve"> </w:t>
      </w:r>
      <w:r w:rsidRPr="00F27D67">
        <w:rPr>
          <w:rFonts w:hint="eastAsia"/>
          <w:highlight w:val="yellow"/>
        </w:rPr>
        <w:t>の範囲</w:t>
      </w:r>
      <w:r w:rsidR="00F27D67" w:rsidRPr="00F27D67">
        <w:rPr>
          <w:rFonts w:hint="eastAsia"/>
          <w:highlight w:val="yellow"/>
        </w:rPr>
        <w:t>（追加図</w:t>
      </w:r>
      <w:r w:rsidR="007D1D22">
        <w:rPr>
          <w:rFonts w:hint="eastAsia"/>
          <w:highlight w:val="yellow"/>
        </w:rPr>
        <w:t>A</w:t>
      </w:r>
      <w:r w:rsidR="00F27D67" w:rsidRPr="00F27D67">
        <w:rPr>
          <w:rFonts w:hint="eastAsia"/>
          <w:highlight w:val="yellow"/>
        </w:rPr>
        <w:t>）</w:t>
      </w:r>
      <w:r w:rsidRPr="00F27D67">
        <w:rPr>
          <w:rFonts w:hint="eastAsia"/>
          <w:highlight w:val="yellow"/>
        </w:rPr>
        <w:t>とし，トー変化はフロント</w:t>
      </w:r>
      <w:r w:rsidRPr="00F27D67">
        <w:rPr>
          <w:highlight w:val="yellow"/>
        </w:rPr>
        <w:t>0</w:t>
      </w:r>
      <w:r w:rsidRPr="00F27D67">
        <w:rPr>
          <w:rFonts w:hint="eastAsia"/>
          <w:i/>
          <w:iCs/>
          <w:highlight w:val="yellow"/>
        </w:rPr>
        <w:t>◦</w:t>
      </w:r>
      <w:r w:rsidRPr="00F27D67">
        <w:rPr>
          <w:rFonts w:hint="eastAsia"/>
          <w:highlight w:val="yellow"/>
        </w:rPr>
        <w:t>～</w:t>
      </w:r>
      <w:r w:rsidRPr="00F27D67">
        <w:rPr>
          <w:highlight w:val="yellow"/>
        </w:rPr>
        <w:t>0.5</w:t>
      </w:r>
      <w:r w:rsidRPr="00F27D67">
        <w:rPr>
          <w:rFonts w:hint="eastAsia"/>
          <w:i/>
          <w:iCs/>
          <w:highlight w:val="yellow"/>
        </w:rPr>
        <w:t>◦</w:t>
      </w:r>
      <w:r w:rsidR="00F27D67" w:rsidRPr="00F27D67">
        <w:rPr>
          <w:rFonts w:hint="eastAsia"/>
          <w:i/>
          <w:iCs/>
          <w:highlight w:val="yellow"/>
        </w:rPr>
        <w:t>(</w:t>
      </w:r>
      <w:r w:rsidR="00F27D67" w:rsidRPr="00F27D67">
        <w:rPr>
          <w:rFonts w:hint="eastAsia"/>
          <w:i/>
          <w:iCs/>
          <w:highlight w:val="yellow"/>
        </w:rPr>
        <w:t>追加図</w:t>
      </w:r>
      <w:r w:rsidR="006C5B09">
        <w:rPr>
          <w:rFonts w:hint="eastAsia"/>
          <w:i/>
          <w:iCs/>
          <w:highlight w:val="yellow"/>
        </w:rPr>
        <w:t>B</w:t>
      </w:r>
      <w:r w:rsidR="00F27D67" w:rsidRPr="00F27D67">
        <w:rPr>
          <w:rFonts w:hint="eastAsia"/>
          <w:i/>
          <w:iCs/>
          <w:highlight w:val="yellow"/>
        </w:rPr>
        <w:t>)</w:t>
      </w:r>
      <w:r w:rsidRPr="00F27D67">
        <w:rPr>
          <w:rFonts w:hint="eastAsia"/>
          <w:highlight w:val="yellow"/>
        </w:rPr>
        <w:t>，</w:t>
      </w:r>
    </w:p>
    <w:p w:rsidR="00F8467A" w:rsidRDefault="005F22B8" w:rsidP="005F22B8">
      <w:pPr>
        <w:rPr>
          <w:rFonts w:hint="eastAsia"/>
          <w:highlight w:val="yellow"/>
        </w:rPr>
      </w:pPr>
      <w:r w:rsidRPr="00F27D67">
        <w:rPr>
          <w:rFonts w:hint="eastAsia"/>
          <w:highlight w:val="yellow"/>
        </w:rPr>
        <w:t>リアは</w:t>
      </w:r>
      <w:r w:rsidRPr="00F27D67">
        <w:rPr>
          <w:highlight w:val="yellow"/>
        </w:rPr>
        <w:t>-0.5</w:t>
      </w:r>
      <w:r w:rsidRPr="00F27D67">
        <w:rPr>
          <w:rFonts w:hint="eastAsia"/>
          <w:i/>
          <w:iCs/>
          <w:highlight w:val="yellow"/>
        </w:rPr>
        <w:t>◦</w:t>
      </w:r>
      <w:r w:rsidRPr="00F27D67">
        <w:rPr>
          <w:rFonts w:hint="eastAsia"/>
          <w:highlight w:val="yellow"/>
        </w:rPr>
        <w:t>～</w:t>
      </w:r>
      <w:r w:rsidRPr="00F27D67">
        <w:rPr>
          <w:highlight w:val="yellow"/>
        </w:rPr>
        <w:t>0</w:t>
      </w:r>
      <w:r w:rsidRPr="00F27D67">
        <w:rPr>
          <w:rFonts w:hint="eastAsia"/>
          <w:i/>
          <w:iCs/>
          <w:highlight w:val="yellow"/>
        </w:rPr>
        <w:t>◦</w:t>
      </w:r>
      <w:r w:rsidRPr="00F27D67">
        <w:rPr>
          <w:i/>
          <w:iCs/>
          <w:highlight w:val="yellow"/>
        </w:rPr>
        <w:t xml:space="preserve"> </w:t>
      </w:r>
      <w:r w:rsidRPr="00F27D67">
        <w:rPr>
          <w:rFonts w:hint="eastAsia"/>
          <w:highlight w:val="yellow"/>
        </w:rPr>
        <w:t>とした．スカッフ変化は</w:t>
      </w:r>
      <w:r w:rsidR="007D1D22">
        <w:rPr>
          <w:rFonts w:hint="eastAsia"/>
          <w:highlight w:val="yellow"/>
        </w:rPr>
        <w:t>Heave25</w:t>
      </w:r>
      <w:r w:rsidR="007D1D22">
        <w:rPr>
          <w:rFonts w:hint="eastAsia"/>
          <w:highlight w:val="yellow"/>
        </w:rPr>
        <w:t>ｍｍ時</w:t>
      </w:r>
      <w:r w:rsidR="00F8467A">
        <w:rPr>
          <w:rFonts w:hint="eastAsia"/>
          <w:highlight w:val="yellow"/>
        </w:rPr>
        <w:t>２</w:t>
      </w:r>
    </w:p>
    <w:p w:rsidR="00F27D67" w:rsidRDefault="005F22B8" w:rsidP="005F22B8">
      <w:pPr>
        <w:rPr>
          <w:rFonts w:hint="eastAsia"/>
        </w:rPr>
      </w:pPr>
      <w:r w:rsidRPr="00F27D67">
        <w:rPr>
          <w:highlight w:val="yellow"/>
        </w:rPr>
        <w:t xml:space="preserve"> mm</w:t>
      </w:r>
      <w:r w:rsidR="00F27D67" w:rsidRPr="00F27D67">
        <w:rPr>
          <w:rFonts w:hint="eastAsia"/>
          <w:highlight w:val="yellow"/>
        </w:rPr>
        <w:t>（追加図</w:t>
      </w:r>
      <w:r w:rsidR="007D1D22">
        <w:rPr>
          <w:rFonts w:hint="eastAsia"/>
          <w:highlight w:val="yellow"/>
        </w:rPr>
        <w:t>C</w:t>
      </w:r>
      <w:r w:rsidR="00F27D67" w:rsidRPr="00F27D67">
        <w:rPr>
          <w:rFonts w:hint="eastAsia"/>
          <w:highlight w:val="yellow"/>
        </w:rPr>
        <w:t>）</w:t>
      </w:r>
      <w:r w:rsidRPr="00F27D67">
        <w:rPr>
          <w:highlight w:val="yellow"/>
        </w:rPr>
        <w:t xml:space="preserve"> </w:t>
      </w:r>
      <w:r w:rsidR="00F27D67" w:rsidRPr="00F27D67">
        <w:rPr>
          <w:rFonts w:hint="eastAsia"/>
          <w:highlight w:val="yellow"/>
        </w:rPr>
        <w:t>とした．</w:t>
      </w:r>
    </w:p>
    <w:p w:rsidR="005F22B8" w:rsidRPr="005F22B8" w:rsidRDefault="00F27D67" w:rsidP="005F22B8">
      <w:r w:rsidRPr="005F22B8">
        <w:rPr>
          <w:b/>
          <w:bCs/>
        </w:rPr>
        <w:t xml:space="preserve"> </w:t>
      </w:r>
      <w:r w:rsidR="005F22B8" w:rsidRPr="005F22B8">
        <w:rPr>
          <w:b/>
          <w:bCs/>
        </w:rPr>
        <w:t xml:space="preserve">2.7 </w:t>
      </w:r>
      <w:r w:rsidR="005F22B8" w:rsidRPr="005F22B8">
        <w:rPr>
          <w:rFonts w:hint="eastAsia"/>
        </w:rPr>
        <w:t>キングピン軸周りのジオメトリ</w:t>
      </w:r>
    </w:p>
    <w:p w:rsidR="005F22B8" w:rsidRPr="005F22B8" w:rsidRDefault="005F22B8" w:rsidP="005F22B8">
      <w:r w:rsidRPr="005F22B8">
        <w:t xml:space="preserve">KS-14 </w:t>
      </w:r>
      <w:r w:rsidRPr="005F22B8">
        <w:rPr>
          <w:rFonts w:hint="eastAsia"/>
        </w:rPr>
        <w:t>と同様にキャスター角</w:t>
      </w:r>
      <w:r w:rsidRPr="005F22B8">
        <w:t>6.981</w:t>
      </w:r>
      <w:r w:rsidRPr="005F22B8">
        <w:rPr>
          <w:rFonts w:hint="eastAsia"/>
          <w:i/>
          <w:iCs/>
        </w:rPr>
        <w:t>◦</w:t>
      </w:r>
      <w:r w:rsidRPr="005F22B8">
        <w:rPr>
          <w:rFonts w:hint="eastAsia"/>
        </w:rPr>
        <w:t>，キングピン傾角</w:t>
      </w:r>
      <w:r w:rsidRPr="005F22B8">
        <w:t>13.097</w:t>
      </w:r>
      <w:r w:rsidRPr="005F22B8">
        <w:rPr>
          <w:rFonts w:hint="eastAsia"/>
          <w:i/>
          <w:iCs/>
        </w:rPr>
        <w:t>◦</w:t>
      </w:r>
      <w:r w:rsidRPr="005F22B8">
        <w:rPr>
          <w:rFonts w:hint="eastAsia"/>
        </w:rPr>
        <w:t>，キャス</w:t>
      </w:r>
    </w:p>
    <w:p w:rsidR="005F22B8" w:rsidRPr="005F22B8" w:rsidRDefault="005F22B8" w:rsidP="005F22B8">
      <w:r w:rsidRPr="005F22B8">
        <w:rPr>
          <w:rFonts w:hint="eastAsia"/>
        </w:rPr>
        <w:t>タートレール</w:t>
      </w:r>
      <w:r w:rsidRPr="005F22B8">
        <w:t xml:space="preserve">24.615 mm </w:t>
      </w:r>
      <w:r w:rsidRPr="005F22B8">
        <w:rPr>
          <w:rFonts w:hint="eastAsia"/>
        </w:rPr>
        <w:t>とした．</w:t>
      </w:r>
    </w:p>
    <w:p w:rsidR="005F22B8" w:rsidRPr="005F22B8" w:rsidRDefault="005F22B8" w:rsidP="005F22B8">
      <w:r w:rsidRPr="005F22B8">
        <w:rPr>
          <w:b/>
          <w:bCs/>
        </w:rPr>
        <w:t xml:space="preserve">2.8 </w:t>
      </w:r>
      <w:r w:rsidRPr="005F22B8">
        <w:rPr>
          <w:rFonts w:hint="eastAsia"/>
        </w:rPr>
        <w:t>サスペンションアーム</w:t>
      </w:r>
    </w:p>
    <w:p w:rsidR="005F22B8" w:rsidRPr="005F22B8" w:rsidRDefault="005F22B8" w:rsidP="005F22B8">
      <w:r w:rsidRPr="005F22B8">
        <w:rPr>
          <w:rFonts w:hint="eastAsia"/>
        </w:rPr>
        <w:t>サスペンションアームは従来通りスチール製パイプで製作し軽量化の為ロ</w:t>
      </w:r>
    </w:p>
    <w:p w:rsidR="005F22B8" w:rsidRPr="005F22B8" w:rsidRDefault="005F22B8" w:rsidP="005F22B8">
      <w:r w:rsidRPr="005F22B8">
        <w:rPr>
          <w:rFonts w:hint="eastAsia"/>
        </w:rPr>
        <w:t>アーアームとアッパーアームで肉厚の異なるものを使用し軽量化を図った．さ</w:t>
      </w:r>
    </w:p>
    <w:p w:rsidR="005F22B8" w:rsidRPr="005F22B8" w:rsidRDefault="005F22B8" w:rsidP="005F22B8">
      <w:r w:rsidRPr="005F22B8">
        <w:rPr>
          <w:rFonts w:hint="eastAsia"/>
        </w:rPr>
        <w:t>らに軽量化のためにアームの補強材に着目した．それぞれのアームにおいてガ</w:t>
      </w:r>
    </w:p>
    <w:p w:rsidR="005F22B8" w:rsidRPr="005F22B8" w:rsidRDefault="005F22B8" w:rsidP="005F22B8">
      <w:r w:rsidRPr="005F22B8">
        <w:rPr>
          <w:rFonts w:hint="eastAsia"/>
        </w:rPr>
        <w:t>ゼットの有無で解析を行ったところ安全率にほとんど変化はなかった．そこで</w:t>
      </w:r>
    </w:p>
    <w:p w:rsidR="005F22B8" w:rsidRPr="005F22B8" w:rsidRDefault="005F22B8" w:rsidP="005F22B8">
      <w:r w:rsidRPr="005F22B8">
        <w:rPr>
          <w:rFonts w:hint="eastAsia"/>
        </w:rPr>
        <w:t>ガゼットを最小化しアーム類のみで</w:t>
      </w:r>
      <w:r w:rsidRPr="005F22B8">
        <w:t xml:space="preserve">-615 g </w:t>
      </w:r>
      <w:r w:rsidRPr="005F22B8">
        <w:rPr>
          <w:rFonts w:hint="eastAsia"/>
        </w:rPr>
        <w:t>の軽量化を行った．</w:t>
      </w:r>
    </w:p>
    <w:p w:rsidR="005F22B8" w:rsidRPr="005F22B8" w:rsidRDefault="005F22B8" w:rsidP="005F22B8">
      <w:r w:rsidRPr="005F22B8">
        <w:rPr>
          <w:b/>
          <w:bCs/>
        </w:rPr>
        <w:t xml:space="preserve">2.9 </w:t>
      </w:r>
      <w:r w:rsidRPr="005F22B8">
        <w:rPr>
          <w:rFonts w:hint="eastAsia"/>
        </w:rPr>
        <w:t>トーロッド</w:t>
      </w:r>
    </w:p>
    <w:p w:rsidR="003A5C92" w:rsidRPr="007C21F4" w:rsidRDefault="005F22B8" w:rsidP="003A5C92">
      <w:pPr>
        <w:rPr>
          <w:highlight w:val="yellow"/>
        </w:rPr>
      </w:pPr>
      <w:r w:rsidRPr="007C21F4">
        <w:rPr>
          <w:highlight w:val="yellow"/>
        </w:rPr>
        <w:t xml:space="preserve">KS-14 </w:t>
      </w:r>
      <w:r w:rsidR="00BE00E5" w:rsidRPr="007C21F4">
        <w:rPr>
          <w:rFonts w:hint="eastAsia"/>
          <w:highlight w:val="yellow"/>
        </w:rPr>
        <w:t>のマシン特性にドライバーからのフィードバックで</w:t>
      </w:r>
      <w:r w:rsidRPr="007C21F4">
        <w:rPr>
          <w:rFonts w:hint="eastAsia"/>
          <w:highlight w:val="yellow"/>
        </w:rPr>
        <w:t>コーナリング限界が低くアンダーステア傾向がみられるというものがあった．この原因をトーロッド</w:t>
      </w:r>
      <w:r w:rsidR="003A5C92" w:rsidRPr="007C21F4">
        <w:rPr>
          <w:rFonts w:hint="eastAsia"/>
          <w:highlight w:val="yellow"/>
        </w:rPr>
        <w:t>の</w:t>
      </w:r>
    </w:p>
    <w:p w:rsidR="005F22B8" w:rsidRPr="007C21F4" w:rsidRDefault="005F22B8" w:rsidP="005F22B8">
      <w:pPr>
        <w:rPr>
          <w:highlight w:val="yellow"/>
        </w:rPr>
      </w:pPr>
      <w:r w:rsidRPr="007C21F4">
        <w:rPr>
          <w:rFonts w:hint="eastAsia"/>
          <w:highlight w:val="yellow"/>
        </w:rPr>
        <w:t>剛性不足であると仮定した．トーロッドの剛性不足により旋回外輪がトー</w:t>
      </w:r>
    </w:p>
    <w:p w:rsidR="005F22B8" w:rsidRPr="003A5C92" w:rsidRDefault="005F22B8" w:rsidP="005F22B8">
      <w:r w:rsidRPr="007C21F4">
        <w:rPr>
          <w:rFonts w:hint="eastAsia"/>
          <w:highlight w:val="yellow"/>
        </w:rPr>
        <w:t>アウトになりコーナリング限界の低下につながっていると考え，</w:t>
      </w:r>
      <w:r w:rsidR="003A5C92" w:rsidRPr="007C21F4">
        <w:rPr>
          <w:rFonts w:hint="eastAsia"/>
          <w:highlight w:val="yellow"/>
        </w:rPr>
        <w:t>Φ</w:t>
      </w:r>
      <w:r w:rsidR="003A5C92" w:rsidRPr="007C21F4">
        <w:rPr>
          <w:rFonts w:hint="eastAsia"/>
          <w:highlight w:val="yellow"/>
        </w:rPr>
        <w:t>12</w:t>
      </w:r>
      <w:r w:rsidR="003A5C92" w:rsidRPr="007C21F4">
        <w:rPr>
          <w:rFonts w:hint="eastAsia"/>
          <w:highlight w:val="yellow"/>
        </w:rPr>
        <w:t>アルミニウム中実棒製トーロッドと高剛性化を狙ったΦ</w:t>
      </w:r>
      <w:r w:rsidR="003A5C92" w:rsidRPr="007C21F4">
        <w:rPr>
          <w:rFonts w:hint="eastAsia"/>
          <w:highlight w:val="yellow"/>
        </w:rPr>
        <w:t>15.9</w:t>
      </w:r>
      <w:r w:rsidR="003A5C92" w:rsidRPr="007C21F4">
        <w:rPr>
          <w:rFonts w:hint="eastAsia"/>
          <w:highlight w:val="yellow"/>
        </w:rPr>
        <w:t>のスチールパイプ製のトーロッドを比較し今年度はスチール製を採用した。</w:t>
      </w:r>
    </w:p>
    <w:p w:rsidR="005F22B8" w:rsidRPr="005F22B8" w:rsidRDefault="005F22B8" w:rsidP="005F22B8">
      <w:r w:rsidRPr="005F22B8">
        <w:rPr>
          <w:b/>
          <w:bCs/>
        </w:rPr>
        <w:lastRenderedPageBreak/>
        <w:t xml:space="preserve">2.10 </w:t>
      </w:r>
      <w:r w:rsidRPr="005F22B8">
        <w:rPr>
          <w:rFonts w:hint="eastAsia"/>
        </w:rPr>
        <w:t>タイロッド</w:t>
      </w:r>
    </w:p>
    <w:p w:rsidR="005F22B8" w:rsidRPr="005F22B8" w:rsidRDefault="005F22B8" w:rsidP="005F22B8">
      <w:r w:rsidRPr="005F22B8">
        <w:rPr>
          <w:rFonts w:hint="eastAsia"/>
        </w:rPr>
        <w:t>タイロッドは昨年度の後ろ引きから，コンプライアンストーアウトを目的</w:t>
      </w:r>
    </w:p>
    <w:p w:rsidR="005F22B8" w:rsidRPr="005F22B8" w:rsidRDefault="005F22B8" w:rsidP="005F22B8">
      <w:r w:rsidRPr="005F22B8">
        <w:rPr>
          <w:rFonts w:hint="eastAsia"/>
        </w:rPr>
        <w:t>に前引きに変更しトーロッドと同様にタイロッドをスチールパイプに変更し</w:t>
      </w:r>
    </w:p>
    <w:p w:rsidR="005F22B8" w:rsidRPr="005F22B8" w:rsidRDefault="005F22B8" w:rsidP="007C21F4">
      <w:r w:rsidRPr="005F22B8">
        <w:rPr>
          <w:rFonts w:hint="eastAsia"/>
        </w:rPr>
        <w:t>ステアリングフィールの向上を目指した．</w:t>
      </w:r>
      <w:r w:rsidR="007C21F4" w:rsidRPr="005F22B8">
        <w:t xml:space="preserve"> </w:t>
      </w:r>
    </w:p>
    <w:p w:rsidR="005F22B8" w:rsidRPr="005F22B8" w:rsidRDefault="005F22B8" w:rsidP="005F22B8">
      <w:r w:rsidRPr="005F22B8">
        <w:rPr>
          <w:b/>
          <w:bCs/>
        </w:rPr>
        <w:t xml:space="preserve">2.11 </w:t>
      </w:r>
      <w:r w:rsidRPr="005F22B8">
        <w:rPr>
          <w:rFonts w:hint="eastAsia"/>
        </w:rPr>
        <w:t>ばねライン系</w:t>
      </w:r>
    </w:p>
    <w:p w:rsidR="005F22B8" w:rsidRPr="005F22B8" w:rsidRDefault="005F22B8" w:rsidP="005F22B8">
      <w:r w:rsidRPr="005F22B8">
        <w:rPr>
          <w:rFonts w:hint="eastAsia"/>
        </w:rPr>
        <w:t>バネライン系の詳細を決定するにあたってまずは最低地上高，目標ロール</w:t>
      </w:r>
    </w:p>
    <w:p w:rsidR="005F22B8" w:rsidRPr="005F22B8" w:rsidRDefault="005F22B8" w:rsidP="005F22B8">
      <w:r w:rsidRPr="005F22B8">
        <w:rPr>
          <w:rFonts w:hint="eastAsia"/>
        </w:rPr>
        <w:t>角を設定した．</w:t>
      </w:r>
      <w:r w:rsidRPr="005F22B8">
        <w:t xml:space="preserve">KS-14 </w:t>
      </w:r>
      <w:r w:rsidRPr="005F22B8">
        <w:rPr>
          <w:rFonts w:hint="eastAsia"/>
        </w:rPr>
        <w:t>はインリフトの抑制のためにフロントのホイールレー</w:t>
      </w:r>
    </w:p>
    <w:p w:rsidR="005F22B8" w:rsidRPr="005F22B8" w:rsidRDefault="005F22B8" w:rsidP="005F22B8">
      <w:r w:rsidRPr="005F22B8">
        <w:rPr>
          <w:rFonts w:hint="eastAsia"/>
        </w:rPr>
        <w:t>トを高くしていたがマシンのアンダーステア傾向が大きくなってしまった．ま</w:t>
      </w:r>
    </w:p>
    <w:p w:rsidR="005F22B8" w:rsidRPr="005F22B8" w:rsidRDefault="005F22B8" w:rsidP="005F22B8">
      <w:r w:rsidRPr="005F22B8">
        <w:rPr>
          <w:rFonts w:hint="eastAsia"/>
        </w:rPr>
        <w:t>た，最低地上高は低いほうが重心高が下がる利点がある一方，走行中の路面</w:t>
      </w:r>
    </w:p>
    <w:p w:rsidR="005F22B8" w:rsidRPr="005F22B8" w:rsidRDefault="005F22B8" w:rsidP="005F22B8">
      <w:r w:rsidRPr="005F22B8">
        <w:rPr>
          <w:rFonts w:hint="eastAsia"/>
        </w:rPr>
        <w:t>タッチのリスクも高まる．</w:t>
      </w:r>
      <w:r w:rsidRPr="0021231A">
        <w:rPr>
          <w:rFonts w:hint="eastAsia"/>
          <w:highlight w:val="yellow"/>
        </w:rPr>
        <w:t>最低地上高管理</w:t>
      </w:r>
      <w:r w:rsidR="0021231A" w:rsidRPr="0021231A">
        <w:rPr>
          <w:rFonts w:hint="eastAsia"/>
          <w:highlight w:val="yellow"/>
        </w:rPr>
        <w:t>とリアウイング搭載による重心高の上昇の相殺</w:t>
      </w:r>
      <w:r w:rsidRPr="0021231A">
        <w:rPr>
          <w:rFonts w:hint="eastAsia"/>
          <w:highlight w:val="yellow"/>
        </w:rPr>
        <w:t>を含め，</w:t>
      </w:r>
      <w:r w:rsidRPr="005F22B8">
        <w:rPr>
          <w:rFonts w:hint="eastAsia"/>
        </w:rPr>
        <w:t>今年度はホイールレート</w:t>
      </w:r>
    </w:p>
    <w:p w:rsidR="005F22B8" w:rsidRPr="005F22B8" w:rsidRDefault="005F22B8" w:rsidP="005F22B8">
      <w:r w:rsidRPr="005F22B8">
        <w:rPr>
          <w:rFonts w:hint="eastAsia"/>
        </w:rPr>
        <w:t>を見直し，最低地上高を</w:t>
      </w:r>
      <w:r w:rsidRPr="005F22B8">
        <w:t>30 mm</w:t>
      </w:r>
      <w:r w:rsidRPr="005F22B8">
        <w:rPr>
          <w:rFonts w:hint="eastAsia"/>
        </w:rPr>
        <w:t>（</w:t>
      </w:r>
      <w:r w:rsidRPr="005F22B8">
        <w:t>20 mm+10 mm</w:t>
      </w:r>
      <w:r w:rsidRPr="005F22B8">
        <w:rPr>
          <w:rFonts w:hint="eastAsia"/>
        </w:rPr>
        <w:t>）に設定し，ホイールス</w:t>
      </w:r>
    </w:p>
    <w:p w:rsidR="005F22B8" w:rsidRPr="005F22B8" w:rsidRDefault="005F22B8" w:rsidP="005F22B8">
      <w:r w:rsidRPr="005F22B8">
        <w:rPr>
          <w:rFonts w:hint="eastAsia"/>
        </w:rPr>
        <w:t>トローク量を</w:t>
      </w:r>
      <w:r w:rsidRPr="005F22B8">
        <w:t>20 mm/G(</w:t>
      </w:r>
      <w:r w:rsidRPr="005F22B8">
        <w:rPr>
          <w:rFonts w:hint="eastAsia"/>
        </w:rPr>
        <w:t>最大荷重</w:t>
      </w:r>
      <w:r w:rsidRPr="005F22B8">
        <w:t xml:space="preserve">2 G) </w:t>
      </w:r>
      <w:r w:rsidRPr="005F22B8">
        <w:rPr>
          <w:rFonts w:hint="eastAsia"/>
        </w:rPr>
        <w:t>に設定した．バネの限界ストローク</w:t>
      </w:r>
    </w:p>
    <w:p w:rsidR="005F22B8" w:rsidRPr="005F22B8" w:rsidRDefault="005F22B8" w:rsidP="005F22B8">
      <w:r w:rsidRPr="005F22B8">
        <w:rPr>
          <w:rFonts w:hint="eastAsia"/>
        </w:rPr>
        <w:t>量は</w:t>
      </w:r>
      <w:r w:rsidRPr="005F22B8">
        <w:t xml:space="preserve">76.2 </w:t>
      </w:r>
      <w:r w:rsidRPr="005F22B8">
        <w:rPr>
          <w:rFonts w:hint="eastAsia"/>
        </w:rPr>
        <w:t>であり，ライドクリアランスを</w:t>
      </w:r>
      <w:r w:rsidRPr="005F22B8">
        <w:t xml:space="preserve">20 mm </w:t>
      </w:r>
      <w:r w:rsidRPr="005F22B8">
        <w:rPr>
          <w:rFonts w:hint="eastAsia"/>
        </w:rPr>
        <w:t>とるとバネストローク量は</w:t>
      </w:r>
    </w:p>
    <w:p w:rsidR="005F22B8" w:rsidRPr="005F22B8" w:rsidRDefault="005F22B8" w:rsidP="005F22B8">
      <w:r w:rsidRPr="005F22B8">
        <w:t xml:space="preserve">56.2 </w:t>
      </w:r>
      <w:r w:rsidRPr="005F22B8">
        <w:rPr>
          <w:rFonts w:hint="eastAsia"/>
        </w:rPr>
        <w:t>となる．ホイールストローク量からホイールレートは決まりフロント</w:t>
      </w:r>
      <w:r w:rsidRPr="005F22B8">
        <w:t>38.1</w:t>
      </w:r>
    </w:p>
    <w:p w:rsidR="005F22B8" w:rsidRPr="005F22B8" w:rsidRDefault="005F22B8" w:rsidP="005F22B8">
      <w:r w:rsidRPr="005F22B8">
        <w:t>N/mm</w:t>
      </w:r>
      <w:r w:rsidRPr="005F22B8">
        <w:rPr>
          <w:rFonts w:hint="eastAsia"/>
        </w:rPr>
        <w:t>，リア</w:t>
      </w:r>
      <w:r w:rsidRPr="005F22B8">
        <w:t xml:space="preserve">46.6 N/mm </w:t>
      </w:r>
      <w:r w:rsidRPr="005F22B8">
        <w:rPr>
          <w:rFonts w:hint="eastAsia"/>
        </w:rPr>
        <w:t>となる．バネストローク量からモーションレシオ</w:t>
      </w:r>
    </w:p>
    <w:p w:rsidR="005F22B8" w:rsidRPr="005F22B8" w:rsidRDefault="005F22B8" w:rsidP="005F22B8">
      <w:r w:rsidRPr="005F22B8">
        <w:rPr>
          <w:rFonts w:hint="eastAsia"/>
        </w:rPr>
        <w:t>は前後とも</w:t>
      </w:r>
      <w:r w:rsidRPr="005F22B8">
        <w:t xml:space="preserve">0.676 </w:t>
      </w:r>
      <w:r w:rsidRPr="005F22B8">
        <w:rPr>
          <w:rFonts w:hint="eastAsia"/>
        </w:rPr>
        <w:t>に設定した．スプリングレートはフロント</w:t>
      </w:r>
      <w:r w:rsidRPr="005F22B8">
        <w:t xml:space="preserve">17.4 N/mm </w:t>
      </w:r>
      <w:r w:rsidRPr="005F22B8">
        <w:rPr>
          <w:rFonts w:hint="eastAsia"/>
        </w:rPr>
        <w:t>リ</w:t>
      </w:r>
    </w:p>
    <w:p w:rsidR="005F22B8" w:rsidRPr="005F22B8" w:rsidRDefault="005F22B8" w:rsidP="005F22B8">
      <w:r w:rsidRPr="005F22B8">
        <w:rPr>
          <w:rFonts w:hint="eastAsia"/>
        </w:rPr>
        <w:t>ア</w:t>
      </w:r>
      <w:r w:rsidRPr="005F22B8">
        <w:t xml:space="preserve">21.3 N/mm </w:t>
      </w:r>
      <w:r w:rsidRPr="005F22B8">
        <w:rPr>
          <w:rFonts w:hint="eastAsia"/>
        </w:rPr>
        <w:t>とした．空力デバイスが装着されたマシンの想定重量はドラ</w:t>
      </w:r>
    </w:p>
    <w:p w:rsidR="005F22B8" w:rsidRPr="005F22B8" w:rsidRDefault="005F22B8" w:rsidP="005F22B8">
      <w:r w:rsidRPr="005F22B8">
        <w:rPr>
          <w:rFonts w:hint="eastAsia"/>
        </w:rPr>
        <w:t>イバー込みで</w:t>
      </w:r>
      <w:r w:rsidR="007C21F4" w:rsidRPr="005C603E">
        <w:rPr>
          <w:highlight w:val="yellow"/>
        </w:rPr>
        <w:t>3</w:t>
      </w:r>
      <w:r w:rsidR="007C21F4" w:rsidRPr="005C603E">
        <w:rPr>
          <w:rFonts w:hint="eastAsia"/>
          <w:highlight w:val="yellow"/>
        </w:rPr>
        <w:t>10</w:t>
      </w:r>
      <w:r w:rsidRPr="005C603E">
        <w:rPr>
          <w:highlight w:val="yellow"/>
        </w:rPr>
        <w:t xml:space="preserve"> kg</w:t>
      </w:r>
      <w:r w:rsidRPr="005C603E">
        <w:rPr>
          <w:rFonts w:hint="eastAsia"/>
          <w:highlight w:val="yellow"/>
        </w:rPr>
        <w:t>（ドライバー</w:t>
      </w:r>
      <w:r w:rsidRPr="005C603E">
        <w:rPr>
          <w:highlight w:val="yellow"/>
        </w:rPr>
        <w:t>60 kg+</w:t>
      </w:r>
      <w:r w:rsidRPr="005C603E">
        <w:rPr>
          <w:rFonts w:hint="eastAsia"/>
          <w:highlight w:val="yellow"/>
        </w:rPr>
        <w:t>車体重量</w:t>
      </w:r>
      <w:r w:rsidR="007C21F4" w:rsidRPr="005C603E">
        <w:rPr>
          <w:highlight w:val="yellow"/>
        </w:rPr>
        <w:t>2</w:t>
      </w:r>
      <w:r w:rsidR="007C21F4" w:rsidRPr="005C603E">
        <w:rPr>
          <w:rFonts w:hint="eastAsia"/>
          <w:highlight w:val="yellow"/>
        </w:rPr>
        <w:t>50</w:t>
      </w:r>
      <w:r w:rsidRPr="005C603E">
        <w:rPr>
          <w:highlight w:val="yellow"/>
        </w:rPr>
        <w:t xml:space="preserve"> kg</w:t>
      </w:r>
      <w:r w:rsidRPr="005C603E">
        <w:rPr>
          <w:rFonts w:hint="eastAsia"/>
          <w:highlight w:val="yellow"/>
        </w:rPr>
        <w:t>）</w:t>
      </w:r>
      <w:r w:rsidRPr="005F22B8">
        <w:rPr>
          <w:rFonts w:hint="eastAsia"/>
        </w:rPr>
        <w:t>より，バネ</w:t>
      </w:r>
    </w:p>
    <w:p w:rsidR="005F22B8" w:rsidRPr="005F22B8" w:rsidRDefault="005F22B8" w:rsidP="005F22B8">
      <w:r w:rsidRPr="005F22B8">
        <w:rPr>
          <w:rFonts w:hint="eastAsia"/>
        </w:rPr>
        <w:t>固有振動数はフロント</w:t>
      </w:r>
      <w:r w:rsidRPr="005F22B8">
        <w:t xml:space="preserve">3.96 Hz </w:t>
      </w:r>
      <w:r w:rsidRPr="005F22B8">
        <w:rPr>
          <w:rFonts w:hint="eastAsia"/>
        </w:rPr>
        <w:t>リア</w:t>
      </w:r>
      <w:r w:rsidRPr="005F22B8">
        <w:t xml:space="preserve">3.99 Hz </w:t>
      </w:r>
      <w:r w:rsidRPr="005F22B8">
        <w:rPr>
          <w:rFonts w:hint="eastAsia"/>
        </w:rPr>
        <w:t>となった．（</w:t>
      </w:r>
      <w:r w:rsidRPr="005F22B8">
        <w:t>KS-14 Fr</w:t>
      </w:r>
      <w:r w:rsidRPr="005F22B8">
        <w:rPr>
          <w:rFonts w:hint="eastAsia"/>
        </w:rPr>
        <w:t>：</w:t>
      </w:r>
      <w:r w:rsidRPr="005F22B8">
        <w:t>3.90 Hz</w:t>
      </w:r>
      <w:r w:rsidRPr="005F22B8">
        <w:rPr>
          <w:rFonts w:hint="eastAsia"/>
        </w:rPr>
        <w:t>，</w:t>
      </w:r>
    </w:p>
    <w:p w:rsidR="005F22B8" w:rsidRPr="005F22B8" w:rsidRDefault="005F22B8" w:rsidP="005F22B8">
      <w:r w:rsidRPr="005F22B8">
        <w:t>Rr</w:t>
      </w:r>
      <w:r w:rsidRPr="005F22B8">
        <w:rPr>
          <w:rFonts w:hint="eastAsia"/>
        </w:rPr>
        <w:t>：</w:t>
      </w:r>
      <w:r w:rsidRPr="005F22B8">
        <w:t>3.43 Hz</w:t>
      </w:r>
      <w:r w:rsidRPr="005F22B8">
        <w:rPr>
          <w:rFonts w:hint="eastAsia"/>
        </w:rPr>
        <w:t>）</w:t>
      </w:r>
    </w:p>
    <w:p w:rsidR="005F22B8" w:rsidRPr="005F22B8" w:rsidRDefault="005F22B8" w:rsidP="005F22B8">
      <w:r w:rsidRPr="005F22B8">
        <w:rPr>
          <w:b/>
          <w:bCs/>
        </w:rPr>
        <w:t xml:space="preserve">2.12 </w:t>
      </w:r>
      <w:r w:rsidRPr="005F22B8">
        <w:rPr>
          <w:rFonts w:hint="eastAsia"/>
        </w:rPr>
        <w:t>重心高</w:t>
      </w:r>
    </w:p>
    <w:p w:rsidR="005F22B8" w:rsidRPr="001017C0" w:rsidRDefault="005F22B8" w:rsidP="005F22B8">
      <w:pPr>
        <w:rPr>
          <w:highlight w:val="yellow"/>
        </w:rPr>
      </w:pPr>
      <w:r w:rsidRPr="001017C0">
        <w:rPr>
          <w:rFonts w:hint="eastAsia"/>
          <w:highlight w:val="yellow"/>
        </w:rPr>
        <w:t>空力デバイスの搭載により，主にリアウイングによって重心高が上がるこ</w:t>
      </w:r>
    </w:p>
    <w:p w:rsidR="005F22B8" w:rsidRPr="001017C0" w:rsidRDefault="005F22B8" w:rsidP="005F22B8">
      <w:pPr>
        <w:rPr>
          <w:highlight w:val="yellow"/>
        </w:rPr>
      </w:pPr>
      <w:r w:rsidRPr="001017C0">
        <w:rPr>
          <w:rFonts w:hint="eastAsia"/>
          <w:highlight w:val="yellow"/>
        </w:rPr>
        <w:t>とが予想される．</w:t>
      </w:r>
      <w:r w:rsidR="0021231A" w:rsidRPr="001017C0">
        <w:rPr>
          <w:rFonts w:hint="eastAsia"/>
          <w:highlight w:val="yellow"/>
        </w:rPr>
        <w:t>この重心高の上昇は荷重移動量の増加からコーナリング性能の低下を招く。スキッドパッドでのタイムの影響は図</w:t>
      </w:r>
      <w:r w:rsidR="0021231A" w:rsidRPr="001017C0">
        <w:rPr>
          <w:rFonts w:hint="eastAsia"/>
          <w:highlight w:val="yellow"/>
        </w:rPr>
        <w:t>(</w:t>
      </w:r>
      <w:r w:rsidR="0021231A" w:rsidRPr="001017C0">
        <w:rPr>
          <w:rFonts w:hint="eastAsia"/>
          <w:highlight w:val="yellow"/>
        </w:rPr>
        <w:t>追加図</w:t>
      </w:r>
      <w:r w:rsidR="0021231A" w:rsidRPr="001017C0">
        <w:rPr>
          <w:rFonts w:hint="eastAsia"/>
          <w:highlight w:val="yellow"/>
        </w:rPr>
        <w:t>D)</w:t>
      </w:r>
      <w:r w:rsidR="0021231A" w:rsidRPr="001017C0">
        <w:rPr>
          <w:rFonts w:hint="eastAsia"/>
          <w:highlight w:val="yellow"/>
        </w:rPr>
        <w:t>の様に</w:t>
      </w:r>
      <w:r w:rsidR="0021231A" w:rsidRPr="001017C0">
        <w:rPr>
          <w:rFonts w:hint="eastAsia"/>
          <w:highlight w:val="yellow"/>
        </w:rPr>
        <w:t>0.002sec/mm</w:t>
      </w:r>
      <w:r w:rsidR="007E4B6E" w:rsidRPr="001017C0">
        <w:rPr>
          <w:rFonts w:hint="eastAsia"/>
          <w:highlight w:val="yellow"/>
        </w:rPr>
        <w:t>の割合で影響を及ぼす。</w:t>
      </w:r>
      <w:r w:rsidRPr="001017C0">
        <w:rPr>
          <w:rFonts w:hint="eastAsia"/>
          <w:highlight w:val="yellow"/>
        </w:rPr>
        <w:t>この重心高の上昇をドライバーの運転姿勢をリクラインにす</w:t>
      </w:r>
    </w:p>
    <w:p w:rsidR="00460877" w:rsidRDefault="005F22B8" w:rsidP="005F22B8">
      <w:pPr>
        <w:rPr>
          <w:rFonts w:hint="eastAsia"/>
        </w:rPr>
      </w:pPr>
      <w:r w:rsidRPr="001017C0">
        <w:rPr>
          <w:rFonts w:hint="eastAsia"/>
          <w:highlight w:val="yellow"/>
        </w:rPr>
        <w:t>ることで抑制することにした．詳細はシートの項で記述する．</w:t>
      </w:r>
      <w:r w:rsidRPr="001017C0">
        <w:rPr>
          <w:highlight w:val="yellow"/>
        </w:rPr>
        <w:t>__</w:t>
      </w:r>
    </w:p>
    <w:p w:rsidR="005F22B8" w:rsidRDefault="005F22B8" w:rsidP="005F22B8">
      <w:pPr>
        <w:rPr>
          <w:rFonts w:hint="eastAsia"/>
        </w:rPr>
      </w:pPr>
    </w:p>
    <w:p w:rsidR="005F22B8" w:rsidRDefault="005F22B8" w:rsidP="005F22B8">
      <w:pPr>
        <w:rPr>
          <w:rFonts w:hint="eastAsia"/>
        </w:rPr>
      </w:pPr>
    </w:p>
    <w:p w:rsidR="005F22B8" w:rsidRDefault="005F22B8" w:rsidP="005F22B8">
      <w:pPr>
        <w:rPr>
          <w:rFonts w:hint="eastAsia"/>
        </w:rPr>
      </w:pPr>
    </w:p>
    <w:p w:rsidR="005F22B8" w:rsidRDefault="005F22B8" w:rsidP="005F22B8">
      <w:pPr>
        <w:rPr>
          <w:rFonts w:hint="eastAsia"/>
        </w:rPr>
      </w:pPr>
    </w:p>
    <w:p w:rsidR="005F22B8" w:rsidRDefault="005F22B8" w:rsidP="005F22B8">
      <w:pPr>
        <w:rPr>
          <w:rFonts w:hint="eastAsia"/>
        </w:rPr>
      </w:pPr>
    </w:p>
    <w:p w:rsidR="005F22B8" w:rsidRDefault="005F22B8" w:rsidP="005F22B8">
      <w:pPr>
        <w:rPr>
          <w:rFonts w:hint="eastAsia"/>
        </w:rPr>
      </w:pPr>
    </w:p>
    <w:p w:rsidR="005F22B8" w:rsidRDefault="005F22B8" w:rsidP="005F22B8">
      <w:pPr>
        <w:rPr>
          <w:rFonts w:hint="eastAsia"/>
        </w:rPr>
      </w:pPr>
    </w:p>
    <w:p w:rsidR="005F22B8" w:rsidRDefault="005F22B8" w:rsidP="005F22B8">
      <w:pPr>
        <w:rPr>
          <w:rFonts w:hint="eastAsia"/>
        </w:rPr>
      </w:pPr>
      <w:r>
        <w:rPr>
          <w:noProof/>
        </w:rPr>
        <w:lastRenderedPageBreak/>
        <w:drawing>
          <wp:inline distT="0" distB="0" distL="0" distR="0" wp14:anchorId="2A90C3A8" wp14:editId="0EAEBEA1">
            <wp:extent cx="4122420" cy="3051810"/>
            <wp:effectExtent l="0" t="0" r="11430" b="1524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F22B8" w:rsidRDefault="005F22B8" w:rsidP="005F22B8">
      <w:pPr>
        <w:rPr>
          <w:rFonts w:hint="eastAsia"/>
        </w:rPr>
      </w:pPr>
      <w:r>
        <w:rPr>
          <w:noProof/>
        </w:rPr>
        <w:drawing>
          <wp:inline distT="0" distB="0" distL="0" distR="0" wp14:anchorId="45770E6D" wp14:editId="2B03310D">
            <wp:extent cx="4152900" cy="3097530"/>
            <wp:effectExtent l="0" t="0" r="19050" b="2667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F22B8" w:rsidRDefault="005F22B8" w:rsidP="005F22B8">
      <w:pPr>
        <w:rPr>
          <w:rFonts w:hint="eastAsia"/>
        </w:rPr>
      </w:pPr>
      <w:r>
        <w:rPr>
          <w:noProof/>
        </w:rPr>
        <w:lastRenderedPageBreak/>
        <w:drawing>
          <wp:inline distT="0" distB="0" distL="0" distR="0" wp14:anchorId="4B1609F2" wp14:editId="394694FF">
            <wp:extent cx="4171950" cy="2880360"/>
            <wp:effectExtent l="0" t="0" r="19050" b="1524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F22B8" w:rsidRDefault="005F22B8" w:rsidP="005F22B8">
      <w:pPr>
        <w:rPr>
          <w:rFonts w:hint="eastAsia"/>
        </w:rPr>
      </w:pPr>
      <w:r>
        <w:rPr>
          <w:noProof/>
        </w:rPr>
        <w:drawing>
          <wp:inline distT="0" distB="0" distL="0" distR="0" wp14:anchorId="745D0EBD" wp14:editId="1AEB78D4">
            <wp:extent cx="4162425" cy="2905126"/>
            <wp:effectExtent l="0" t="0" r="9525" b="952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F27D67" w:rsidRDefault="00F27D67" w:rsidP="005F22B8">
      <w:pPr>
        <w:rPr>
          <w:rFonts w:hint="eastAsia"/>
        </w:rPr>
      </w:pPr>
      <w:r>
        <w:rPr>
          <w:noProof/>
        </w:rPr>
        <w:lastRenderedPageBreak/>
        <w:drawing>
          <wp:inline distT="0" distB="0" distL="0" distR="0" wp14:anchorId="71C02E17" wp14:editId="74B5276E">
            <wp:extent cx="5200650" cy="3190875"/>
            <wp:effectExtent l="0" t="0" r="19050" b="952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C5B09" w:rsidRDefault="00F8467A" w:rsidP="005F22B8">
      <w:r>
        <w:rPr>
          <w:noProof/>
        </w:rPr>
        <w:drawing>
          <wp:inline distT="0" distB="0" distL="0" distR="0" wp14:anchorId="34156F64" wp14:editId="2473E0F0">
            <wp:extent cx="5200650" cy="3286125"/>
            <wp:effectExtent l="0" t="0" r="19050"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6C5B09">
        <w:rPr>
          <w:noProof/>
        </w:rPr>
        <w:lastRenderedPageBreak/>
        <w:drawing>
          <wp:inline distT="0" distB="0" distL="0" distR="0" wp14:anchorId="25C2F1F3" wp14:editId="42C8B83E">
            <wp:extent cx="5248275" cy="3619500"/>
            <wp:effectExtent l="0" t="0" r="9525" b="1905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6C5B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2B8"/>
    <w:rsid w:val="00075B65"/>
    <w:rsid w:val="001017C0"/>
    <w:rsid w:val="0021231A"/>
    <w:rsid w:val="002F340C"/>
    <w:rsid w:val="003A5C92"/>
    <w:rsid w:val="005C4CED"/>
    <w:rsid w:val="005C603E"/>
    <w:rsid w:val="005F22B8"/>
    <w:rsid w:val="006C5B09"/>
    <w:rsid w:val="007C21F4"/>
    <w:rsid w:val="007D1D22"/>
    <w:rsid w:val="007E4B6E"/>
    <w:rsid w:val="008C227C"/>
    <w:rsid w:val="00956C4C"/>
    <w:rsid w:val="009705A6"/>
    <w:rsid w:val="009C306B"/>
    <w:rsid w:val="00A1694F"/>
    <w:rsid w:val="00BE00E5"/>
    <w:rsid w:val="00F27D67"/>
    <w:rsid w:val="00F84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22B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2B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22B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2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ltLang="ja-JP" sz="1600" baseline="0"/>
              <a:t> </a:t>
            </a:r>
            <a:r>
              <a:rPr lang="ja-JP" altLang="en-US" sz="1600" b="1" i="1" baseline="0"/>
              <a:t>修正図</a:t>
            </a:r>
            <a:r>
              <a:rPr lang="ja-JP" altLang="en-US" sz="1200" baseline="0"/>
              <a:t>車両重量の</a:t>
            </a:r>
            <a:r>
              <a:rPr lang="en-US" altLang="ja-JP" sz="1200" baseline="0"/>
              <a:t>Skidpad</a:t>
            </a:r>
            <a:r>
              <a:rPr lang="ja-JP" altLang="en-US" sz="1200" baseline="0"/>
              <a:t>への影響</a:t>
            </a:r>
            <a:endParaRPr lang="ja-JP" altLang="en-US" sz="1200"/>
          </a:p>
        </c:rich>
      </c:tx>
      <c:layout>
        <c:manualLayout>
          <c:xMode val="edge"/>
          <c:yMode val="edge"/>
          <c:x val="0.21973660516967602"/>
          <c:y val="0.8951406649616368"/>
        </c:manualLayout>
      </c:layout>
      <c:overlay val="0"/>
      <c:spPr>
        <a:noFill/>
        <a:ln>
          <a:noFill/>
        </a:ln>
        <a:effectLst/>
      </c:spPr>
    </c:title>
    <c:autoTitleDeleted val="0"/>
    <c:plotArea>
      <c:layout>
        <c:manualLayout>
          <c:layoutTarget val="inner"/>
          <c:xMode val="edge"/>
          <c:yMode val="edge"/>
          <c:x val="7.8686681836288158E-2"/>
          <c:y val="4.6888320545609548E-2"/>
          <c:w val="0.70447874806609623"/>
          <c:h val="0.74765558397271947"/>
        </c:manualLayout>
      </c:layout>
      <c:scatterChart>
        <c:scatterStyle val="lineMarker"/>
        <c:varyColors val="0"/>
        <c:ser>
          <c:idx val="0"/>
          <c:order val="0"/>
          <c:tx>
            <c:v>車両重量のタイムへの影響</c:v>
          </c:tx>
          <c:spPr>
            <a:ln w="25400" cap="rnd">
              <a:noFill/>
              <a:round/>
            </a:ln>
            <a:effectLst/>
          </c:spPr>
          <c:marker>
            <c:symbol val="none"/>
          </c:marker>
          <c:trendline>
            <c:spPr>
              <a:ln w="31750" cap="rnd" cmpd="sng">
                <a:solidFill>
                  <a:schemeClr val="accent1"/>
                </a:solidFill>
                <a:prstDash val="solid"/>
              </a:ln>
              <a:effectLst/>
            </c:spPr>
            <c:trendlineType val="linear"/>
            <c:dispRSqr val="0"/>
            <c:dispEq val="1"/>
            <c:trendlineLbl>
              <c:layout>
                <c:manualLayout>
                  <c:x val="0.12474012474012475"/>
                  <c:y val="-9.725718428418954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Sheet1!$H$40:$H$47</c:f>
              <c:numCache>
                <c:formatCode>General</c:formatCode>
                <c:ptCount val="8"/>
                <c:pt idx="0">
                  <c:v>260</c:v>
                </c:pt>
                <c:pt idx="1">
                  <c:v>255</c:v>
                </c:pt>
                <c:pt idx="2">
                  <c:v>250</c:v>
                </c:pt>
                <c:pt idx="3">
                  <c:v>245</c:v>
                </c:pt>
                <c:pt idx="4">
                  <c:v>240</c:v>
                </c:pt>
                <c:pt idx="5">
                  <c:v>235</c:v>
                </c:pt>
                <c:pt idx="6">
                  <c:v>230</c:v>
                </c:pt>
                <c:pt idx="7">
                  <c:v>225</c:v>
                </c:pt>
              </c:numCache>
            </c:numRef>
          </c:xVal>
          <c:yVal>
            <c:numRef>
              <c:f>Sheet1!$J$40:$J$47</c:f>
              <c:numCache>
                <c:formatCode>General</c:formatCode>
                <c:ptCount val="8"/>
                <c:pt idx="0">
                  <c:v>4.9999999999999822E-2</c:v>
                </c:pt>
                <c:pt idx="1">
                  <c:v>4.0000000000000036E-2</c:v>
                </c:pt>
                <c:pt idx="2">
                  <c:v>1.9999999999999574E-2</c:v>
                </c:pt>
                <c:pt idx="3">
                  <c:v>0</c:v>
                </c:pt>
                <c:pt idx="4">
                  <c:v>-2.0000000000000462E-2</c:v>
                </c:pt>
                <c:pt idx="5">
                  <c:v>-3.0000000000000249E-2</c:v>
                </c:pt>
                <c:pt idx="6">
                  <c:v>-5.0000000000000711E-2</c:v>
                </c:pt>
                <c:pt idx="7">
                  <c:v>-6.0000000000000497E-2</c:v>
                </c:pt>
              </c:numCache>
            </c:numRef>
          </c:yVal>
          <c:smooth val="0"/>
        </c:ser>
        <c:dLbls>
          <c:showLegendKey val="0"/>
          <c:showVal val="0"/>
          <c:showCatName val="0"/>
          <c:showSerName val="0"/>
          <c:showPercent val="0"/>
          <c:showBubbleSize val="0"/>
        </c:dLbls>
        <c:axId val="84957376"/>
        <c:axId val="254468096"/>
      </c:scatterChart>
      <c:valAx>
        <c:axId val="84957376"/>
        <c:scaling>
          <c:orientation val="maxMin"/>
          <c:max val="260"/>
          <c:min val="225"/>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ja-JP" altLang="en-US" sz="1400"/>
                  <a:t>車両重量</a:t>
                </a:r>
                <a:r>
                  <a:rPr lang="en-US" altLang="ja-JP" sz="1400"/>
                  <a:t>[Kg]</a:t>
                </a:r>
                <a:endParaRPr lang="ja-JP" altLang="en-US" sz="1400"/>
              </a:p>
            </c:rich>
          </c:tx>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ja-JP"/>
          </a:p>
        </c:txPr>
        <c:crossAx val="254468096"/>
        <c:crosses val="autoZero"/>
        <c:crossBetween val="midCat"/>
        <c:majorUnit val="5"/>
      </c:valAx>
      <c:valAx>
        <c:axId val="254468096"/>
        <c:scaling>
          <c:orientation val="minMax"/>
          <c:max val="0.15000000000000002"/>
          <c:min val="-0.15000000000000002"/>
        </c:scaling>
        <c:delete val="0"/>
        <c:axPos val="r"/>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ja-JP" altLang="en-US" sz="1400"/>
                  <a:t>タイム差</a:t>
                </a:r>
                <a:r>
                  <a:rPr lang="en-US" altLang="ja-JP" sz="1400"/>
                  <a:t>[s]</a:t>
                </a:r>
                <a:endParaRPr lang="ja-JP" altLang="en-US" sz="1400"/>
              </a:p>
            </c:rich>
          </c:tx>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84957376"/>
        <c:crosses val="autoZero"/>
        <c:crossBetween val="midCat"/>
      </c:valAx>
      <c:spPr>
        <a:solidFill>
          <a:schemeClr val="bg1"/>
        </a:solidFill>
        <a:ln>
          <a:noFill/>
        </a:ln>
        <a:effectLst/>
      </c:spPr>
    </c:plotArea>
    <c:legend>
      <c:legendPos val="r"/>
      <c:legendEntry>
        <c:idx val="0"/>
        <c:delete val="1"/>
      </c:legendEntry>
      <c:layout>
        <c:manualLayout>
          <c:xMode val="edge"/>
          <c:yMode val="edge"/>
          <c:x val="9.5443384026061201E-2"/>
          <c:y val="0.59559847218586159"/>
          <c:w val="0.45656631798364083"/>
          <c:h val="0.18008840646837304"/>
        </c:manualLayout>
      </c:layout>
      <c:overlay val="0"/>
      <c:spPr>
        <a:solidFill>
          <a:schemeClr val="bg1"/>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ja-JP"/>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ja-JP" altLang="en-US" sz="1600" b="1" i="1"/>
              <a:t>修正図</a:t>
            </a:r>
            <a:r>
              <a:rPr lang="ja-JP" altLang="en-US" sz="1200"/>
              <a:t>ダウンフォースの</a:t>
            </a:r>
            <a:r>
              <a:rPr lang="en-US" altLang="ja-JP" sz="1200"/>
              <a:t>Skidpad</a:t>
            </a:r>
            <a:r>
              <a:rPr lang="ja-JP" altLang="en-US" sz="1200"/>
              <a:t>への影響</a:t>
            </a:r>
          </a:p>
        </c:rich>
      </c:tx>
      <c:layout>
        <c:manualLayout>
          <c:xMode val="edge"/>
          <c:yMode val="edge"/>
          <c:x val="0.21103566433757823"/>
          <c:y val="0.90676883780332052"/>
        </c:manualLayout>
      </c:layout>
      <c:overlay val="0"/>
      <c:spPr>
        <a:noFill/>
        <a:ln>
          <a:noFill/>
        </a:ln>
        <a:effectLst/>
      </c:spPr>
    </c:title>
    <c:autoTitleDeleted val="0"/>
    <c:plotArea>
      <c:layout>
        <c:manualLayout>
          <c:layoutTarget val="inner"/>
          <c:xMode val="edge"/>
          <c:yMode val="edge"/>
          <c:x val="0.20945429266597146"/>
          <c:y val="5.9238141209360322E-2"/>
          <c:w val="0.72672047380938698"/>
          <c:h val="0.78446113776007886"/>
        </c:manualLayout>
      </c:layout>
      <c:scatterChart>
        <c:scatterStyle val="lineMarker"/>
        <c:varyColors val="0"/>
        <c:ser>
          <c:idx val="0"/>
          <c:order val="0"/>
          <c:tx>
            <c:v>ダウンフォースのタイムへの影響</c:v>
          </c:tx>
          <c:spPr>
            <a:ln w="25400" cap="rnd">
              <a:noFill/>
              <a:round/>
            </a:ln>
            <a:effectLst/>
          </c:spPr>
          <c:marker>
            <c:symbol val="none"/>
          </c:marker>
          <c:trendline>
            <c:spPr>
              <a:ln w="31750" cap="rnd" cmpd="sng">
                <a:solidFill>
                  <a:schemeClr val="accent6">
                    <a:lumMod val="75000"/>
                  </a:schemeClr>
                </a:solidFill>
                <a:prstDash val="solid"/>
              </a:ln>
              <a:effectLst/>
            </c:spPr>
            <c:trendlineType val="linear"/>
            <c:dispRSqr val="0"/>
            <c:dispEq val="1"/>
            <c:trendlineLbl>
              <c:layout>
                <c:manualLayout>
                  <c:x val="-0.40508921476558551"/>
                  <c:y val="-0.34273372654986395"/>
                </c:manualLayout>
              </c:layout>
              <c:numFmt formatCode="General" sourceLinked="0"/>
            </c:trendlineLbl>
          </c:trendline>
          <c:xVal>
            <c:numRef>
              <c:f>Sheet1!$H$53:$H$62</c:f>
              <c:numCache>
                <c:formatCode>General</c:formatCode>
                <c:ptCount val="10"/>
                <c:pt idx="0">
                  <c:v>0</c:v>
                </c:pt>
                <c:pt idx="1">
                  <c:v>20</c:v>
                </c:pt>
                <c:pt idx="2">
                  <c:v>40</c:v>
                </c:pt>
                <c:pt idx="3">
                  <c:v>60</c:v>
                </c:pt>
                <c:pt idx="4">
                  <c:v>80</c:v>
                </c:pt>
                <c:pt idx="5">
                  <c:v>100</c:v>
                </c:pt>
                <c:pt idx="6">
                  <c:v>120</c:v>
                </c:pt>
                <c:pt idx="7">
                  <c:v>140</c:v>
                </c:pt>
                <c:pt idx="8">
                  <c:v>160</c:v>
                </c:pt>
                <c:pt idx="9">
                  <c:v>180</c:v>
                </c:pt>
              </c:numCache>
            </c:numRef>
          </c:xVal>
          <c:yVal>
            <c:numRef>
              <c:f>Sheet1!$J$53:$J$62</c:f>
              <c:numCache>
                <c:formatCode>General</c:formatCode>
                <c:ptCount val="10"/>
                <c:pt idx="0">
                  <c:v>0</c:v>
                </c:pt>
                <c:pt idx="1">
                  <c:v>-9.9999999999997868E-3</c:v>
                </c:pt>
                <c:pt idx="2">
                  <c:v>-1.9999999999999574E-2</c:v>
                </c:pt>
                <c:pt idx="3">
                  <c:v>-4.0000000000000036E-2</c:v>
                </c:pt>
                <c:pt idx="4">
                  <c:v>-4.9999999999999822E-2</c:v>
                </c:pt>
                <c:pt idx="5">
                  <c:v>-5.9999999999999609E-2</c:v>
                </c:pt>
                <c:pt idx="6">
                  <c:v>-7.0000000000000284E-2</c:v>
                </c:pt>
                <c:pt idx="7">
                  <c:v>-8.9999999999999858E-2</c:v>
                </c:pt>
                <c:pt idx="8">
                  <c:v>-9.9999999999999645E-2</c:v>
                </c:pt>
                <c:pt idx="9">
                  <c:v>-0.11000000000000032</c:v>
                </c:pt>
              </c:numCache>
            </c:numRef>
          </c:yVal>
          <c:smooth val="0"/>
        </c:ser>
        <c:dLbls>
          <c:showLegendKey val="0"/>
          <c:showVal val="0"/>
          <c:showCatName val="0"/>
          <c:showSerName val="0"/>
          <c:showPercent val="0"/>
          <c:showBubbleSize val="0"/>
        </c:dLbls>
        <c:axId val="325831488"/>
        <c:axId val="304596096"/>
      </c:scatterChart>
      <c:valAx>
        <c:axId val="325831488"/>
        <c:scaling>
          <c:orientation val="minMax"/>
          <c:max val="180"/>
          <c:min val="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ja-JP" altLang="en-US" sz="1400"/>
                  <a:t>ダウンフォース</a:t>
                </a:r>
                <a:r>
                  <a:rPr lang="en-US" altLang="ja-JP" sz="1400"/>
                  <a:t>[N]</a:t>
                </a:r>
                <a:endParaRPr lang="ja-JP" altLang="en-US" sz="1400"/>
              </a:p>
            </c:rich>
          </c:tx>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304596096"/>
        <c:crosses val="autoZero"/>
        <c:crossBetween val="midCat"/>
        <c:majorUnit val="20"/>
      </c:valAx>
      <c:valAx>
        <c:axId val="304596096"/>
        <c:scaling>
          <c:orientation val="minMax"/>
          <c:max val="0.15000000000000002"/>
          <c:min val="-0.15000000000000002"/>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ja-JP" altLang="en-US" sz="1400"/>
                  <a:t>タイム差</a:t>
                </a:r>
                <a:r>
                  <a:rPr lang="en-US" altLang="ja-JP" sz="1400"/>
                  <a:t>[s]</a:t>
                </a:r>
                <a:endParaRPr lang="ja-JP" altLang="en-US" sz="1400"/>
              </a:p>
            </c:rich>
          </c:tx>
          <c:layout>
            <c:manualLayout>
              <c:xMode val="edge"/>
              <c:yMode val="edge"/>
              <c:x val="2.3224104286234292E-2"/>
              <c:y val="0.35879097488292888"/>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325831488"/>
        <c:crosses val="autoZero"/>
        <c:crossBetween val="midCat"/>
      </c:valAx>
      <c:spPr>
        <a:noFill/>
        <a:ln>
          <a:noFill/>
        </a:ln>
        <a:effectLst/>
      </c:spPr>
    </c:plotArea>
    <c:legend>
      <c:legendPos val="r"/>
      <c:legendEntry>
        <c:idx val="0"/>
        <c:delete val="1"/>
      </c:legendEntry>
      <c:legendEntry>
        <c:idx val="1"/>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Entry>
      <c:layout>
        <c:manualLayout>
          <c:xMode val="edge"/>
          <c:yMode val="edge"/>
          <c:x val="0.46451876505127582"/>
          <c:y val="0.11290216081480381"/>
          <c:w val="0.43774927618583759"/>
          <c:h val="0.17452978755014115"/>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ja-JP"/>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ja-JP" altLang="en-US" sz="1600" b="1" i="1"/>
              <a:t>修正図</a:t>
            </a:r>
            <a:r>
              <a:rPr lang="ja-JP" altLang="en-US"/>
              <a:t>トレッド減少によるタイムへの影響</a:t>
            </a:r>
          </a:p>
        </c:rich>
      </c:tx>
      <c:layout>
        <c:manualLayout>
          <c:xMode val="edge"/>
          <c:yMode val="edge"/>
          <c:x val="0.21673893503038147"/>
          <c:y val="0.89730519796136599"/>
        </c:manualLayout>
      </c:layout>
      <c:overlay val="0"/>
      <c:spPr>
        <a:noFill/>
        <a:ln>
          <a:noFill/>
        </a:ln>
        <a:effectLst/>
      </c:spPr>
    </c:title>
    <c:autoTitleDeleted val="0"/>
    <c:plotArea>
      <c:layout>
        <c:manualLayout>
          <c:layoutTarget val="inner"/>
          <c:xMode val="edge"/>
          <c:yMode val="edge"/>
          <c:x val="7.2307692307692295E-2"/>
          <c:y val="4.2963641723404312E-2"/>
          <c:w val="0.67272333266034057"/>
          <c:h val="0.76612503951214483"/>
        </c:manualLayout>
      </c:layout>
      <c:scatterChart>
        <c:scatterStyle val="lineMarker"/>
        <c:varyColors val="0"/>
        <c:ser>
          <c:idx val="0"/>
          <c:order val="0"/>
          <c:tx>
            <c:v>トレッド減少によるタイムへの影響</c:v>
          </c:tx>
          <c:spPr>
            <a:ln w="25400" cap="rnd">
              <a:noFill/>
              <a:round/>
            </a:ln>
            <a:effectLst/>
          </c:spPr>
          <c:marker>
            <c:symbol val="circle"/>
            <c:size val="5"/>
            <c:spPr>
              <a:noFill/>
              <a:ln w="9525">
                <a:noFill/>
              </a:ln>
              <a:effectLst/>
            </c:spPr>
          </c:marker>
          <c:trendline>
            <c:spPr>
              <a:ln w="31750" cap="rnd" cmpd="sng">
                <a:solidFill>
                  <a:schemeClr val="accent3"/>
                </a:solidFill>
                <a:prstDash val="solid"/>
              </a:ln>
              <a:effectLst/>
            </c:spPr>
            <c:trendlineType val="linear"/>
            <c:dispRSqr val="0"/>
            <c:dispEq val="1"/>
            <c:trendlineLbl>
              <c:layout>
                <c:manualLayout>
                  <c:x val="0.1095890410958904"/>
                  <c:y val="-8.8272646474746211E-2"/>
                </c:manualLayout>
              </c:layout>
              <c:numFmt formatCode="General" sourceLinked="0"/>
            </c:trendlineLbl>
          </c:trendline>
          <c:xVal>
            <c:numRef>
              <c:f>Sheet1!$B$54:$B$64</c:f>
              <c:numCache>
                <c:formatCode>General</c:formatCode>
                <c:ptCount val="11"/>
                <c:pt idx="0">
                  <c:v>1200</c:v>
                </c:pt>
                <c:pt idx="1">
                  <c:v>1190</c:v>
                </c:pt>
                <c:pt idx="2">
                  <c:v>1180</c:v>
                </c:pt>
                <c:pt idx="3">
                  <c:v>1170</c:v>
                </c:pt>
                <c:pt idx="4">
                  <c:v>1160</c:v>
                </c:pt>
                <c:pt idx="5">
                  <c:v>1150</c:v>
                </c:pt>
                <c:pt idx="6">
                  <c:v>1140</c:v>
                </c:pt>
                <c:pt idx="7">
                  <c:v>1130</c:v>
                </c:pt>
                <c:pt idx="8">
                  <c:v>1120</c:v>
                </c:pt>
                <c:pt idx="9">
                  <c:v>1110</c:v>
                </c:pt>
                <c:pt idx="10">
                  <c:v>1100</c:v>
                </c:pt>
              </c:numCache>
            </c:numRef>
          </c:xVal>
          <c:yVal>
            <c:numRef>
              <c:f>Sheet1!$D$54:$D$64</c:f>
              <c:numCache>
                <c:formatCode>General</c:formatCode>
                <c:ptCount val="11"/>
                <c:pt idx="0">
                  <c:v>0</c:v>
                </c:pt>
                <c:pt idx="1">
                  <c:v>0</c:v>
                </c:pt>
                <c:pt idx="2">
                  <c:v>0.01</c:v>
                </c:pt>
                <c:pt idx="3">
                  <c:v>0.01</c:v>
                </c:pt>
                <c:pt idx="4">
                  <c:v>0.01</c:v>
                </c:pt>
                <c:pt idx="5">
                  <c:v>0.02</c:v>
                </c:pt>
                <c:pt idx="6">
                  <c:v>0.02</c:v>
                </c:pt>
                <c:pt idx="7">
                  <c:v>0.02</c:v>
                </c:pt>
                <c:pt idx="8">
                  <c:v>0.03</c:v>
                </c:pt>
                <c:pt idx="9">
                  <c:v>0.03</c:v>
                </c:pt>
                <c:pt idx="10">
                  <c:v>0.03</c:v>
                </c:pt>
              </c:numCache>
            </c:numRef>
          </c:yVal>
          <c:smooth val="0"/>
        </c:ser>
        <c:dLbls>
          <c:showLegendKey val="0"/>
          <c:showVal val="0"/>
          <c:showCatName val="0"/>
          <c:showSerName val="0"/>
          <c:showPercent val="0"/>
          <c:showBubbleSize val="0"/>
        </c:dLbls>
        <c:axId val="254468672"/>
        <c:axId val="84956224"/>
      </c:scatterChart>
      <c:valAx>
        <c:axId val="254468672"/>
        <c:scaling>
          <c:orientation val="maxMin"/>
          <c:max val="1200"/>
          <c:min val="110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ja-JP" altLang="en-US" sz="1400"/>
                  <a:t>トレッド</a:t>
                </a:r>
                <a:r>
                  <a:rPr lang="en-US" altLang="ja-JP" sz="1400"/>
                  <a:t>[</a:t>
                </a:r>
                <a:r>
                  <a:rPr lang="ja-JP" altLang="en-US" sz="1400"/>
                  <a:t>ｍｍ</a:t>
                </a:r>
                <a:r>
                  <a:rPr lang="en-US" altLang="ja-JP" sz="1400"/>
                  <a:t>]</a:t>
                </a:r>
                <a:endParaRPr lang="ja-JP" altLang="en-US" sz="1400"/>
              </a:p>
            </c:rich>
          </c:tx>
          <c:layout>
            <c:manualLayout>
              <c:xMode val="edge"/>
              <c:yMode val="edge"/>
              <c:x val="0.33082307019314894"/>
              <c:y val="0.809088681235549"/>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ja-JP"/>
          </a:p>
        </c:txPr>
        <c:crossAx val="84956224"/>
        <c:crosses val="autoZero"/>
        <c:crossBetween val="midCat"/>
        <c:majorUnit val="20"/>
      </c:valAx>
      <c:valAx>
        <c:axId val="84956224"/>
        <c:scaling>
          <c:orientation val="minMax"/>
          <c:max val="0.15000000000000002"/>
          <c:min val="-0.15000000000000002"/>
        </c:scaling>
        <c:delete val="0"/>
        <c:axPos val="r"/>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ja-JP" altLang="en-US" sz="1400">
                    <a:latin typeface="+mj-ea"/>
                    <a:ea typeface="+mj-ea"/>
                  </a:rPr>
                  <a:t>タイム差</a:t>
                </a:r>
                <a:r>
                  <a:rPr lang="en-US" altLang="ja-JP" sz="1400">
                    <a:latin typeface="+mj-ea"/>
                    <a:ea typeface="+mj-ea"/>
                  </a:rPr>
                  <a:t>[s]</a:t>
                </a:r>
                <a:endParaRPr lang="ja-JP" altLang="en-US" sz="1400">
                  <a:latin typeface="+mj-ea"/>
                  <a:ea typeface="+mj-ea"/>
                </a:endParaRPr>
              </a:p>
            </c:rich>
          </c:tx>
          <c:layout>
            <c:manualLayout>
              <c:xMode val="edge"/>
              <c:yMode val="edge"/>
              <c:x val="0.87692307692307692"/>
              <c:y val="0.3278304014433920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254468672"/>
        <c:crosses val="autoZero"/>
        <c:crossBetween val="midCat"/>
      </c:valAx>
      <c:spPr>
        <a:noFill/>
        <a:ln>
          <a:solidFill>
            <a:schemeClr val="tx1"/>
          </a:solidFill>
        </a:ln>
        <a:effectLst/>
      </c:spPr>
    </c:plotArea>
    <c:legend>
      <c:legendPos val="r"/>
      <c:legendEntry>
        <c:idx val="0"/>
        <c:delete val="1"/>
      </c:legendEntry>
      <c:legendEntry>
        <c:idx val="1"/>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j-ea"/>
                <a:ea typeface="+mj-ea"/>
                <a:cs typeface="+mn-cs"/>
              </a:defRPr>
            </a:pPr>
            <a:endParaRPr lang="ja-JP"/>
          </a:p>
        </c:txPr>
      </c:legendEntry>
      <c:layout>
        <c:manualLayout>
          <c:xMode val="edge"/>
          <c:yMode val="edge"/>
          <c:x val="0.31946995087152569"/>
          <c:y val="0.59799225029212355"/>
          <c:w val="0.39981210041052562"/>
          <c:h val="0.19880557893727424"/>
        </c:manualLayout>
      </c:layout>
      <c:overlay val="0"/>
      <c:spPr>
        <a:solidFill>
          <a:schemeClr val="bg1"/>
        </a:solidFill>
        <a:ln>
          <a:solidFill>
            <a:schemeClr val="tx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ltLang="en-US" sz="1600" b="1" i="1"/>
              <a:t>追加図</a:t>
            </a:r>
            <a:r>
              <a:rPr lang="en-US" altLang="ja-JP" sz="1600" b="1" i="1"/>
              <a:t>D</a:t>
            </a:r>
          </a:p>
          <a:p>
            <a:pPr>
              <a:defRPr/>
            </a:pPr>
            <a:r>
              <a:rPr lang="ja-JP" altLang="en-US" sz="1100" b="0"/>
              <a:t>重心高低下によるタイムへの影響</a:t>
            </a:r>
          </a:p>
        </c:rich>
      </c:tx>
      <c:layout>
        <c:manualLayout>
          <c:xMode val="edge"/>
          <c:yMode val="edge"/>
          <c:x val="0.43066169360408896"/>
          <c:y val="0.64546448087431696"/>
        </c:manualLayout>
      </c:layout>
      <c:overlay val="1"/>
      <c:spPr>
        <a:solidFill>
          <a:schemeClr val="accent6">
            <a:lumMod val="20000"/>
            <a:lumOff val="80000"/>
          </a:schemeClr>
        </a:solidFill>
      </c:spPr>
    </c:title>
    <c:autoTitleDeleted val="0"/>
    <c:plotArea>
      <c:layout>
        <c:manualLayout>
          <c:layoutTarget val="inner"/>
          <c:xMode val="edge"/>
          <c:yMode val="edge"/>
          <c:x val="9.3565169342390564E-2"/>
          <c:y val="7.8918435895723615E-2"/>
          <c:w val="0.67442632599986785"/>
          <c:h val="0.73103713918088231"/>
        </c:manualLayout>
      </c:layout>
      <c:scatterChart>
        <c:scatterStyle val="lineMarker"/>
        <c:varyColors val="0"/>
        <c:ser>
          <c:idx val="0"/>
          <c:order val="0"/>
          <c:tx>
            <c:v>重心高低下によるタイムへの影響</c:v>
          </c:tx>
          <c:spPr>
            <a:ln w="28575">
              <a:noFill/>
            </a:ln>
          </c:spPr>
          <c:marker>
            <c:symbol val="none"/>
          </c:marker>
          <c:trendline>
            <c:spPr>
              <a:ln w="31750">
                <a:solidFill>
                  <a:srgbClr val="FF0000"/>
                </a:solidFill>
              </a:ln>
            </c:spPr>
            <c:trendlineType val="linear"/>
            <c:dispRSqr val="0"/>
            <c:dispEq val="1"/>
            <c:trendlineLbl>
              <c:layout>
                <c:manualLayout>
                  <c:x val="0.17391304347826086"/>
                  <c:y val="-6.4550040170374703E-2"/>
                </c:manualLayout>
              </c:layout>
              <c:numFmt formatCode="General" sourceLinked="0"/>
            </c:trendlineLbl>
          </c:trendline>
          <c:xVal>
            <c:numRef>
              <c:f>'Z:\各班フォルダ\2018\サスペンション\資料\設計資料\[ダウンフォースと横Gとスキッパ2018グラフ.xlsx]2018'!$B$115:$B$123</c:f>
              <c:numCache>
                <c:formatCode>General</c:formatCode>
                <c:ptCount val="9"/>
                <c:pt idx="0">
                  <c:v>300</c:v>
                </c:pt>
                <c:pt idx="1">
                  <c:v>295</c:v>
                </c:pt>
                <c:pt idx="2">
                  <c:v>290</c:v>
                </c:pt>
                <c:pt idx="3">
                  <c:v>285</c:v>
                </c:pt>
                <c:pt idx="4">
                  <c:v>280</c:v>
                </c:pt>
                <c:pt idx="5">
                  <c:v>275</c:v>
                </c:pt>
                <c:pt idx="6">
                  <c:v>270</c:v>
                </c:pt>
                <c:pt idx="7">
                  <c:v>265</c:v>
                </c:pt>
                <c:pt idx="8">
                  <c:v>260</c:v>
                </c:pt>
              </c:numCache>
            </c:numRef>
          </c:xVal>
          <c:yVal>
            <c:numRef>
              <c:f>'Z:\各班フォルダ\2018\サスペンション\資料\設計資料\[ダウンフォースと横Gとスキッパ2018グラフ.xlsx]2018'!$D$115:$D$123</c:f>
              <c:numCache>
                <c:formatCode>General</c:formatCode>
                <c:ptCount val="9"/>
                <c:pt idx="0">
                  <c:v>4.0000000000000036E-2</c:v>
                </c:pt>
                <c:pt idx="1">
                  <c:v>3.0000000000000249E-2</c:v>
                </c:pt>
                <c:pt idx="2">
                  <c:v>2.0000000000000462E-2</c:v>
                </c:pt>
                <c:pt idx="3">
                  <c:v>9.9999999999997868E-3</c:v>
                </c:pt>
                <c:pt idx="4">
                  <c:v>0</c:v>
                </c:pt>
                <c:pt idx="5">
                  <c:v>-9.9999999999997868E-3</c:v>
                </c:pt>
                <c:pt idx="6">
                  <c:v>-1.9999999999999574E-2</c:v>
                </c:pt>
                <c:pt idx="7">
                  <c:v>-3.0000000000000249E-2</c:v>
                </c:pt>
                <c:pt idx="8">
                  <c:v>-4.0000000000000036E-2</c:v>
                </c:pt>
              </c:numCache>
            </c:numRef>
          </c:yVal>
          <c:smooth val="0"/>
        </c:ser>
        <c:dLbls>
          <c:showLegendKey val="0"/>
          <c:showVal val="0"/>
          <c:showCatName val="0"/>
          <c:showSerName val="0"/>
          <c:showPercent val="0"/>
          <c:showBubbleSize val="0"/>
        </c:dLbls>
        <c:axId val="84957952"/>
        <c:axId val="254475584"/>
      </c:scatterChart>
      <c:valAx>
        <c:axId val="84957952"/>
        <c:scaling>
          <c:orientation val="maxMin"/>
          <c:max val="300"/>
          <c:min val="260"/>
        </c:scaling>
        <c:delete val="0"/>
        <c:axPos val="b"/>
        <c:majorGridlines/>
        <c:title>
          <c:tx>
            <c:rich>
              <a:bodyPr/>
              <a:lstStyle/>
              <a:p>
                <a:pPr>
                  <a:defRPr sz="1400"/>
                </a:pPr>
                <a:r>
                  <a:rPr lang="ja-JP" altLang="en-US" sz="1400" b="0">
                    <a:latin typeface="+mj-ea"/>
                    <a:ea typeface="+mj-ea"/>
                  </a:rPr>
                  <a:t>重心高</a:t>
                </a:r>
                <a:r>
                  <a:rPr lang="en-US" altLang="ja-JP" sz="1400" b="0">
                    <a:latin typeface="+mj-ea"/>
                    <a:ea typeface="+mj-ea"/>
                  </a:rPr>
                  <a:t>[</a:t>
                </a:r>
                <a:r>
                  <a:rPr lang="ja-JP" altLang="en-US" sz="1400" b="0">
                    <a:latin typeface="+mj-ea"/>
                    <a:ea typeface="+mj-ea"/>
                  </a:rPr>
                  <a:t>ｍｍ</a:t>
                </a:r>
                <a:r>
                  <a:rPr lang="en-US" altLang="ja-JP" sz="1400" b="0">
                    <a:latin typeface="+mj-ea"/>
                    <a:ea typeface="+mj-ea"/>
                  </a:rPr>
                  <a:t>]</a:t>
                </a:r>
                <a:endParaRPr lang="ja-JP" altLang="en-US" sz="1400" b="0">
                  <a:latin typeface="+mj-ea"/>
                  <a:ea typeface="+mj-ea"/>
                </a:endParaRPr>
              </a:p>
            </c:rich>
          </c:tx>
          <c:layout>
            <c:manualLayout>
              <c:xMode val="edge"/>
              <c:yMode val="edge"/>
              <c:x val="0.29674312450074175"/>
              <c:y val="0.83618507424462829"/>
            </c:manualLayout>
          </c:layout>
          <c:overlay val="0"/>
        </c:title>
        <c:numFmt formatCode="General" sourceLinked="1"/>
        <c:majorTickMark val="out"/>
        <c:minorTickMark val="none"/>
        <c:tickLblPos val="nextTo"/>
        <c:spPr>
          <a:ln>
            <a:solidFill>
              <a:schemeClr val="tx1"/>
            </a:solidFill>
          </a:ln>
        </c:spPr>
        <c:txPr>
          <a:bodyPr/>
          <a:lstStyle/>
          <a:p>
            <a:pPr>
              <a:defRPr sz="1200"/>
            </a:pPr>
            <a:endParaRPr lang="ja-JP"/>
          </a:p>
        </c:txPr>
        <c:crossAx val="254475584"/>
        <c:crosses val="autoZero"/>
        <c:crossBetween val="midCat"/>
        <c:majorUnit val="10"/>
      </c:valAx>
      <c:valAx>
        <c:axId val="254475584"/>
        <c:scaling>
          <c:orientation val="minMax"/>
          <c:max val="0.15000000000000002"/>
          <c:min val="-0.15000000000000002"/>
        </c:scaling>
        <c:delete val="0"/>
        <c:axPos val="r"/>
        <c:majorGridlines>
          <c:spPr>
            <a:ln>
              <a:solidFill>
                <a:schemeClr val="tx1"/>
              </a:solidFill>
            </a:ln>
          </c:spPr>
        </c:majorGridlines>
        <c:title>
          <c:tx>
            <c:rich>
              <a:bodyPr rot="-5400000" vert="horz"/>
              <a:lstStyle/>
              <a:p>
                <a:pPr>
                  <a:defRPr sz="1400" b="0"/>
                </a:pPr>
                <a:r>
                  <a:rPr lang="ja-JP" altLang="en-US" sz="1400" b="0">
                    <a:latin typeface="+mj-ea"/>
                    <a:ea typeface="+mj-ea"/>
                  </a:rPr>
                  <a:t>タイム差</a:t>
                </a:r>
                <a:r>
                  <a:rPr lang="en-US" altLang="ja-JP" sz="1400" b="0">
                    <a:latin typeface="+mj-ea"/>
                    <a:ea typeface="+mj-ea"/>
                  </a:rPr>
                  <a:t>[s]</a:t>
                </a:r>
                <a:endParaRPr lang="ja-JP" altLang="en-US" sz="1400" b="0">
                  <a:latin typeface="+mj-ea"/>
                  <a:ea typeface="+mj-ea"/>
                </a:endParaRPr>
              </a:p>
            </c:rich>
          </c:tx>
          <c:layout/>
          <c:overlay val="0"/>
        </c:title>
        <c:numFmt formatCode="General" sourceLinked="1"/>
        <c:majorTickMark val="out"/>
        <c:minorTickMark val="none"/>
        <c:tickLblPos val="nextTo"/>
        <c:txPr>
          <a:bodyPr/>
          <a:lstStyle/>
          <a:p>
            <a:pPr>
              <a:defRPr sz="1200"/>
            </a:pPr>
            <a:endParaRPr lang="ja-JP"/>
          </a:p>
        </c:txPr>
        <c:crossAx val="84957952"/>
        <c:crosses val="autoZero"/>
        <c:crossBetween val="midCat"/>
      </c:valAx>
      <c:spPr>
        <a:ln>
          <a:solidFill>
            <a:schemeClr val="tx1"/>
          </a:solidFill>
        </a:ln>
      </c:spPr>
    </c:plotArea>
    <c:legend>
      <c:legendPos val="r"/>
      <c:legendEntry>
        <c:idx val="0"/>
        <c:delete val="1"/>
      </c:legendEntry>
      <c:legendEntry>
        <c:idx val="1"/>
        <c:txPr>
          <a:bodyPr/>
          <a:lstStyle/>
          <a:p>
            <a:pPr>
              <a:defRPr>
                <a:latin typeface="+mj-ea"/>
                <a:ea typeface="+mj-ea"/>
              </a:defRPr>
            </a:pPr>
            <a:endParaRPr lang="ja-JP"/>
          </a:p>
        </c:txPr>
      </c:legendEntry>
      <c:layout>
        <c:manualLayout>
          <c:xMode val="edge"/>
          <c:yMode val="edge"/>
          <c:x val="0.12314263920671244"/>
          <c:y val="0.59581236751865507"/>
          <c:w val="0.34248665141113654"/>
          <c:h val="0.18469388246843682"/>
        </c:manualLayout>
      </c:layout>
      <c:overlay val="0"/>
      <c:spPr>
        <a:solidFill>
          <a:schemeClr val="bg1"/>
        </a:solidFill>
        <a:ln>
          <a:solidFill>
            <a:schemeClr val="tx1"/>
          </a:solidFill>
        </a:ln>
      </c:spPr>
    </c:legend>
    <c:plotVisOnly val="1"/>
    <c:dispBlanksAs val="gap"/>
    <c:showDLblsOverMax val="0"/>
  </c:chart>
  <c:spPr>
    <a:ln>
      <a:solidFill>
        <a:schemeClr val="tx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ja-JP" altLang="en-US" sz="2800" i="1"/>
              <a:t>追加図</a:t>
            </a:r>
            <a:r>
              <a:rPr lang="en-US" altLang="ja-JP" sz="2800" i="1"/>
              <a:t>B</a:t>
            </a:r>
            <a:r>
              <a:rPr lang="ja-JP" altLang="en-US"/>
              <a:t>　</a:t>
            </a:r>
            <a:r>
              <a:rPr lang="en-US" altLang="ja-JP"/>
              <a:t> </a:t>
            </a:r>
            <a:r>
              <a:rPr lang="ja-JP" altLang="en-US"/>
              <a:t>旋回外輪側トーチェンジ</a:t>
            </a:r>
          </a:p>
        </c:rich>
      </c:tx>
      <c:layout>
        <c:manualLayout>
          <c:xMode val="edge"/>
          <c:yMode val="edge"/>
          <c:x val="9.8029515178527232E-2"/>
          <c:y val="0.64727472405680575"/>
        </c:manualLayout>
      </c:layout>
      <c:overlay val="0"/>
      <c:spPr>
        <a:solidFill>
          <a:srgbClr val="F79646">
            <a:lumMod val="20000"/>
            <a:lumOff val="80000"/>
          </a:srgbClr>
        </a:solidFill>
        <a:ln>
          <a:solidFill>
            <a:sysClr val="windowText" lastClr="000000"/>
          </a:solidFill>
        </a:ln>
      </c:spPr>
    </c:title>
    <c:autoTitleDeleted val="0"/>
    <c:plotArea>
      <c:layout>
        <c:manualLayout>
          <c:layoutTarget val="inner"/>
          <c:xMode val="edge"/>
          <c:yMode val="edge"/>
          <c:x val="7.1029436092110765E-2"/>
          <c:y val="8.068852839115366E-2"/>
          <c:w val="0.83471111774609763"/>
          <c:h val="0.76725374806767488"/>
        </c:manualLayout>
      </c:layout>
      <c:scatterChart>
        <c:scatterStyle val="lineMarker"/>
        <c:varyColors val="0"/>
        <c:ser>
          <c:idx val="0"/>
          <c:order val="0"/>
          <c:tx>
            <c:v>2018</c:v>
          </c:tx>
          <c:spPr>
            <a:ln w="28575">
              <a:noFill/>
            </a:ln>
          </c:spPr>
          <c:xVal>
            <c:numRef>
              <c:f>Sheet1!$M$107:$M$127</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Sheet1!$C$107:$C$127</c:f>
              <c:numCache>
                <c:formatCode>General</c:formatCode>
                <c:ptCount val="21"/>
                <c:pt idx="0">
                  <c:v>0</c:v>
                </c:pt>
                <c:pt idx="1">
                  <c:v>-2E-3</c:v>
                </c:pt>
                <c:pt idx="2">
                  <c:v>-4.0000000000000001E-3</c:v>
                </c:pt>
                <c:pt idx="3">
                  <c:v>-6.0000000000000001E-3</c:v>
                </c:pt>
                <c:pt idx="4">
                  <c:v>-8.0000000000000002E-3</c:v>
                </c:pt>
                <c:pt idx="5">
                  <c:v>-8.9999999999999993E-3</c:v>
                </c:pt>
                <c:pt idx="6">
                  <c:v>-1.0999999999999999E-2</c:v>
                </c:pt>
                <c:pt idx="7">
                  <c:v>-1.2E-2</c:v>
                </c:pt>
                <c:pt idx="8">
                  <c:v>-1.2999999999999999E-2</c:v>
                </c:pt>
                <c:pt idx="9">
                  <c:v>-1.4E-2</c:v>
                </c:pt>
                <c:pt idx="10">
                  <c:v>-1.4999999999999999E-2</c:v>
                </c:pt>
                <c:pt idx="11">
                  <c:v>-1.6E-2</c:v>
                </c:pt>
                <c:pt idx="12">
                  <c:v>-1.6E-2</c:v>
                </c:pt>
                <c:pt idx="13">
                  <c:v>-1.7000000000000001E-2</c:v>
                </c:pt>
                <c:pt idx="14">
                  <c:v>-1.7000000000000001E-2</c:v>
                </c:pt>
                <c:pt idx="15">
                  <c:v>-1.7000000000000001E-2</c:v>
                </c:pt>
                <c:pt idx="16">
                  <c:v>-1.7000000000000001E-2</c:v>
                </c:pt>
                <c:pt idx="17">
                  <c:v>-1.7000000000000001E-2</c:v>
                </c:pt>
                <c:pt idx="18">
                  <c:v>-1.7000000000000001E-2</c:v>
                </c:pt>
                <c:pt idx="19">
                  <c:v>-1.6E-2</c:v>
                </c:pt>
                <c:pt idx="20">
                  <c:v>-1.6E-2</c:v>
                </c:pt>
              </c:numCache>
            </c:numRef>
          </c:yVal>
          <c:smooth val="0"/>
        </c:ser>
        <c:ser>
          <c:idx val="1"/>
          <c:order val="1"/>
          <c:tx>
            <c:v>2017</c:v>
          </c:tx>
          <c:spPr>
            <a:ln w="28575">
              <a:noFill/>
            </a:ln>
          </c:spPr>
          <c:xVal>
            <c:numRef>
              <c:f>Sheet1!$M$138:$M$158</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Sheet1!$C$138:$C$158</c:f>
              <c:numCache>
                <c:formatCode>General</c:formatCode>
                <c:ptCount val="21"/>
                <c:pt idx="0">
                  <c:v>0</c:v>
                </c:pt>
                <c:pt idx="1">
                  <c:v>0</c:v>
                </c:pt>
                <c:pt idx="2">
                  <c:v>0</c:v>
                </c:pt>
                <c:pt idx="3">
                  <c:v>0</c:v>
                </c:pt>
                <c:pt idx="4">
                  <c:v>0</c:v>
                </c:pt>
                <c:pt idx="5">
                  <c:v>0</c:v>
                </c:pt>
                <c:pt idx="6">
                  <c:v>0</c:v>
                </c:pt>
                <c:pt idx="7">
                  <c:v>0</c:v>
                </c:pt>
                <c:pt idx="8">
                  <c:v>1E-3</c:v>
                </c:pt>
                <c:pt idx="9">
                  <c:v>1E-3</c:v>
                </c:pt>
                <c:pt idx="10">
                  <c:v>1E-3</c:v>
                </c:pt>
                <c:pt idx="11">
                  <c:v>1E-3</c:v>
                </c:pt>
                <c:pt idx="12">
                  <c:v>2E-3</c:v>
                </c:pt>
                <c:pt idx="13">
                  <c:v>2E-3</c:v>
                </c:pt>
                <c:pt idx="14">
                  <c:v>2E-3</c:v>
                </c:pt>
                <c:pt idx="15">
                  <c:v>3.0000000000000001E-3</c:v>
                </c:pt>
                <c:pt idx="16">
                  <c:v>3.0000000000000001E-3</c:v>
                </c:pt>
                <c:pt idx="17">
                  <c:v>4.0000000000000001E-3</c:v>
                </c:pt>
                <c:pt idx="18">
                  <c:v>4.0000000000000001E-3</c:v>
                </c:pt>
                <c:pt idx="19">
                  <c:v>5.0000000000000001E-3</c:v>
                </c:pt>
                <c:pt idx="20">
                  <c:v>6.0000000000000001E-3</c:v>
                </c:pt>
              </c:numCache>
            </c:numRef>
          </c:yVal>
          <c:smooth val="0"/>
        </c:ser>
        <c:ser>
          <c:idx val="2"/>
          <c:order val="2"/>
          <c:tx>
            <c:v>2016</c:v>
          </c:tx>
          <c:spPr>
            <a:ln w="28575">
              <a:noFill/>
            </a:ln>
          </c:spPr>
          <c:xVal>
            <c:numRef>
              <c:f>Sheet1!$M$169:$M$189</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Sheet1!$C$169:$C$189</c:f>
              <c:numCache>
                <c:formatCode>General</c:formatCode>
                <c:ptCount val="21"/>
                <c:pt idx="0">
                  <c:v>0</c:v>
                </c:pt>
                <c:pt idx="1">
                  <c:v>-1E-3</c:v>
                </c:pt>
                <c:pt idx="2">
                  <c:v>-2E-3</c:v>
                </c:pt>
                <c:pt idx="3">
                  <c:v>-3.0000000000000001E-3</c:v>
                </c:pt>
                <c:pt idx="4">
                  <c:v>-4.0000000000000001E-3</c:v>
                </c:pt>
                <c:pt idx="5">
                  <c:v>-5.0000000000000001E-3</c:v>
                </c:pt>
                <c:pt idx="6">
                  <c:v>-6.0000000000000001E-3</c:v>
                </c:pt>
                <c:pt idx="7">
                  <c:v>-7.0000000000000001E-3</c:v>
                </c:pt>
                <c:pt idx="8">
                  <c:v>-7.0000000000000001E-3</c:v>
                </c:pt>
                <c:pt idx="9">
                  <c:v>-8.0000000000000002E-3</c:v>
                </c:pt>
                <c:pt idx="10">
                  <c:v>-8.0000000000000002E-3</c:v>
                </c:pt>
                <c:pt idx="11">
                  <c:v>-8.9999999999999993E-3</c:v>
                </c:pt>
                <c:pt idx="12">
                  <c:v>-8.9999999999999993E-3</c:v>
                </c:pt>
                <c:pt idx="13">
                  <c:v>-0.01</c:v>
                </c:pt>
                <c:pt idx="14">
                  <c:v>-0.01</c:v>
                </c:pt>
                <c:pt idx="15">
                  <c:v>-0.01</c:v>
                </c:pt>
                <c:pt idx="16">
                  <c:v>-1.0999999999999999E-2</c:v>
                </c:pt>
                <c:pt idx="17">
                  <c:v>-1.0999999999999999E-2</c:v>
                </c:pt>
                <c:pt idx="18">
                  <c:v>-1.0999999999999999E-2</c:v>
                </c:pt>
                <c:pt idx="19">
                  <c:v>-1.0999999999999999E-2</c:v>
                </c:pt>
                <c:pt idx="20">
                  <c:v>-1.0999999999999999E-2</c:v>
                </c:pt>
              </c:numCache>
            </c:numRef>
          </c:yVal>
          <c:smooth val="0"/>
        </c:ser>
        <c:dLbls>
          <c:showLegendKey val="0"/>
          <c:showVal val="0"/>
          <c:showCatName val="0"/>
          <c:showSerName val="0"/>
          <c:showPercent val="0"/>
          <c:showBubbleSize val="0"/>
        </c:dLbls>
        <c:axId val="175914304"/>
        <c:axId val="320022784"/>
      </c:scatterChart>
      <c:valAx>
        <c:axId val="175914304"/>
        <c:scaling>
          <c:orientation val="minMax"/>
          <c:min val="-2"/>
        </c:scaling>
        <c:delete val="0"/>
        <c:axPos val="b"/>
        <c:title>
          <c:tx>
            <c:rich>
              <a:bodyPr/>
              <a:lstStyle/>
              <a:p>
                <a:pPr>
                  <a:defRPr sz="2000" b="0"/>
                </a:pPr>
                <a:r>
                  <a:rPr lang="en-US" altLang="ja-JP" sz="2000" b="0"/>
                  <a:t>RollAngle[°]</a:t>
                </a:r>
                <a:endParaRPr lang="ja-JP" altLang="en-US" sz="2000" b="0"/>
              </a:p>
            </c:rich>
          </c:tx>
          <c:layout>
            <c:manualLayout>
              <c:xMode val="edge"/>
              <c:yMode val="edge"/>
              <c:x val="0.33479656881534559"/>
              <c:y val="0.87456819733032554"/>
            </c:manualLayout>
          </c:layout>
          <c:overlay val="0"/>
        </c:title>
        <c:numFmt formatCode="General" sourceLinked="1"/>
        <c:majorTickMark val="out"/>
        <c:minorTickMark val="none"/>
        <c:tickLblPos val="nextTo"/>
        <c:txPr>
          <a:bodyPr/>
          <a:lstStyle/>
          <a:p>
            <a:pPr>
              <a:defRPr sz="1800"/>
            </a:pPr>
            <a:endParaRPr lang="ja-JP"/>
          </a:p>
        </c:txPr>
        <c:crossAx val="320022784"/>
        <c:crosses val="autoZero"/>
        <c:crossBetween val="midCat"/>
      </c:valAx>
      <c:valAx>
        <c:axId val="320022784"/>
        <c:scaling>
          <c:orientation val="minMax"/>
          <c:max val="1.0000000000000002E-2"/>
          <c:min val="-2.0000000000000004E-2"/>
        </c:scaling>
        <c:delete val="0"/>
        <c:axPos val="l"/>
        <c:majorGridlines/>
        <c:title>
          <c:tx>
            <c:rich>
              <a:bodyPr rot="-5400000" vert="horz"/>
              <a:lstStyle/>
              <a:p>
                <a:pPr>
                  <a:defRPr sz="2000" b="0"/>
                </a:pPr>
                <a:r>
                  <a:rPr lang="en-US" altLang="ja-JP" sz="2000" b="0"/>
                  <a:t>ToeAngle[°]</a:t>
                </a:r>
                <a:endParaRPr lang="ja-JP" altLang="en-US" sz="2000" b="0"/>
              </a:p>
            </c:rich>
          </c:tx>
          <c:layout>
            <c:manualLayout>
              <c:xMode val="edge"/>
              <c:yMode val="edge"/>
              <c:x val="0.91517623909181367"/>
              <c:y val="0.2677048190305793"/>
            </c:manualLayout>
          </c:layout>
          <c:overlay val="0"/>
        </c:title>
        <c:numFmt formatCode="General" sourceLinked="1"/>
        <c:majorTickMark val="out"/>
        <c:minorTickMark val="none"/>
        <c:tickLblPos val="nextTo"/>
        <c:txPr>
          <a:bodyPr/>
          <a:lstStyle/>
          <a:p>
            <a:pPr>
              <a:defRPr sz="2000"/>
            </a:pPr>
            <a:endParaRPr lang="ja-JP"/>
          </a:p>
        </c:txPr>
        <c:crossAx val="175914304"/>
        <c:crosses val="autoZero"/>
        <c:crossBetween val="midCat"/>
        <c:majorUnit val="5.000000000000001E-3"/>
        <c:minorUnit val="1.0000000000000002E-3"/>
      </c:valAx>
      <c:spPr>
        <a:noFill/>
      </c:spPr>
    </c:plotArea>
    <c:legend>
      <c:legendPos val="r"/>
      <c:layout>
        <c:manualLayout>
          <c:xMode val="edge"/>
          <c:yMode val="edge"/>
          <c:x val="0.10532499938037165"/>
          <c:y val="6.7944035913755391E-2"/>
          <c:w val="0.58582363525314052"/>
          <c:h val="8.3776221766012141E-2"/>
        </c:manualLayout>
      </c:layout>
      <c:overlay val="0"/>
      <c:spPr>
        <a:solidFill>
          <a:schemeClr val="bg1"/>
        </a:solidFill>
        <a:ln>
          <a:solidFill>
            <a:schemeClr val="tx1"/>
          </a:solidFill>
        </a:ln>
      </c:spPr>
      <c:txPr>
        <a:bodyPr/>
        <a:lstStyle/>
        <a:p>
          <a:pPr>
            <a:defRPr sz="1800"/>
          </a:pPr>
          <a:endParaRPr lang="ja-JP"/>
        </a:p>
      </c:txPr>
    </c:legend>
    <c:plotVisOnly val="1"/>
    <c:dispBlanksAs val="gap"/>
    <c:showDLblsOverMax val="0"/>
  </c:chart>
  <c:spPr>
    <a:ln>
      <a:solidFill>
        <a:schemeClr val="tx1"/>
      </a:solidFill>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ja-JP" altLang="en-US" sz="2400" i="1"/>
              <a:t>追加図</a:t>
            </a:r>
            <a:r>
              <a:rPr lang="en-US" altLang="ja-JP" sz="2400" i="1"/>
              <a:t>C</a:t>
            </a:r>
            <a:r>
              <a:rPr lang="ja-JP" altLang="en-US" sz="2400" i="1"/>
              <a:t>　スカッフ変化</a:t>
            </a:r>
            <a:r>
              <a:rPr lang="en-US" altLang="ja-JP"/>
              <a:t>)</a:t>
            </a:r>
            <a:r>
              <a:rPr lang="en-US" altLang="ja-JP" baseline="0"/>
              <a:t> </a:t>
            </a:r>
            <a:endParaRPr lang="ja-JP" altLang="en-US"/>
          </a:p>
        </c:rich>
      </c:tx>
      <c:layout>
        <c:manualLayout>
          <c:xMode val="edge"/>
          <c:yMode val="edge"/>
          <c:x val="0.21377838215525269"/>
          <c:y val="5.5986990784577195E-2"/>
        </c:manualLayout>
      </c:layout>
      <c:overlay val="0"/>
      <c:spPr>
        <a:solidFill>
          <a:schemeClr val="accent6">
            <a:lumMod val="40000"/>
            <a:lumOff val="60000"/>
          </a:schemeClr>
        </a:solidFill>
        <a:ln>
          <a:solidFill>
            <a:sysClr val="windowText" lastClr="000000"/>
          </a:solidFill>
        </a:ln>
      </c:spPr>
    </c:title>
    <c:autoTitleDeleted val="0"/>
    <c:plotArea>
      <c:layout>
        <c:manualLayout>
          <c:layoutTarget val="inner"/>
          <c:xMode val="edge"/>
          <c:yMode val="edge"/>
          <c:x val="0.11624381805467036"/>
          <c:y val="5.6201829165002874E-2"/>
          <c:w val="0.713739049039535"/>
          <c:h val="0.72826638888502615"/>
        </c:manualLayout>
      </c:layout>
      <c:scatterChart>
        <c:scatterStyle val="lineMarker"/>
        <c:varyColors val="0"/>
        <c:ser>
          <c:idx val="0"/>
          <c:order val="0"/>
          <c:tx>
            <c:strRef>
              <c:f>Sheet1!$B$5</c:f>
              <c:strCache>
                <c:ptCount val="1"/>
                <c:pt idx="0">
                  <c:v>2018</c:v>
                </c:pt>
              </c:strCache>
            </c:strRef>
          </c:tx>
          <c:spPr>
            <a:ln w="28575">
              <a:noFill/>
            </a:ln>
          </c:spPr>
          <c:xVal>
            <c:numRef>
              <c:f>Sheet1!$L$14:$L$34</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Sheet1!$E$14:$E$34</c:f>
              <c:numCache>
                <c:formatCode>General</c:formatCode>
                <c:ptCount val="21"/>
                <c:pt idx="0">
                  <c:v>600</c:v>
                </c:pt>
                <c:pt idx="1">
                  <c:v>600.07299999999998</c:v>
                </c:pt>
                <c:pt idx="2">
                  <c:v>600.14200000000005</c:v>
                </c:pt>
                <c:pt idx="3">
                  <c:v>600.20799999999997</c:v>
                </c:pt>
                <c:pt idx="4">
                  <c:v>600.27099999999996</c:v>
                </c:pt>
                <c:pt idx="5">
                  <c:v>600.33000000000004</c:v>
                </c:pt>
                <c:pt idx="6">
                  <c:v>600.38599999999997</c:v>
                </c:pt>
                <c:pt idx="7">
                  <c:v>600.43799999999999</c:v>
                </c:pt>
                <c:pt idx="8">
                  <c:v>600.48699999999997</c:v>
                </c:pt>
                <c:pt idx="9">
                  <c:v>600.53200000000004</c:v>
                </c:pt>
                <c:pt idx="10">
                  <c:v>600.57399999999996</c:v>
                </c:pt>
                <c:pt idx="11">
                  <c:v>600.61300000000006</c:v>
                </c:pt>
                <c:pt idx="12">
                  <c:v>600.64800000000002</c:v>
                </c:pt>
                <c:pt idx="13">
                  <c:v>600.67999999999995</c:v>
                </c:pt>
                <c:pt idx="14">
                  <c:v>600.70899999999995</c:v>
                </c:pt>
                <c:pt idx="15">
                  <c:v>600.73400000000004</c:v>
                </c:pt>
                <c:pt idx="16">
                  <c:v>600.755</c:v>
                </c:pt>
                <c:pt idx="17">
                  <c:v>600.774</c:v>
                </c:pt>
                <c:pt idx="18">
                  <c:v>600.78899999999999</c:v>
                </c:pt>
                <c:pt idx="19">
                  <c:v>600.79999999999995</c:v>
                </c:pt>
                <c:pt idx="20">
                  <c:v>600.80799999999999</c:v>
                </c:pt>
              </c:numCache>
            </c:numRef>
          </c:yVal>
          <c:smooth val="0"/>
        </c:ser>
        <c:ser>
          <c:idx val="1"/>
          <c:order val="1"/>
          <c:tx>
            <c:strRef>
              <c:f>Sheet1!$B$36</c:f>
              <c:strCache>
                <c:ptCount val="1"/>
                <c:pt idx="0">
                  <c:v>2017</c:v>
                </c:pt>
              </c:strCache>
            </c:strRef>
          </c:tx>
          <c:spPr>
            <a:ln w="28575">
              <a:noFill/>
            </a:ln>
          </c:spPr>
          <c:xVal>
            <c:numRef>
              <c:f>Sheet1!$L$14:$L$34</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Sheet1!$E$45:$E$65</c:f>
              <c:numCache>
                <c:formatCode>General</c:formatCode>
                <c:ptCount val="21"/>
                <c:pt idx="0">
                  <c:v>600</c:v>
                </c:pt>
                <c:pt idx="1">
                  <c:v>600.10400000000004</c:v>
                </c:pt>
                <c:pt idx="2">
                  <c:v>600.20500000000004</c:v>
                </c:pt>
                <c:pt idx="3">
                  <c:v>600.30200000000002</c:v>
                </c:pt>
                <c:pt idx="4">
                  <c:v>600.39499999999998</c:v>
                </c:pt>
                <c:pt idx="5">
                  <c:v>600.48500000000001</c:v>
                </c:pt>
                <c:pt idx="6">
                  <c:v>600.57100000000003</c:v>
                </c:pt>
                <c:pt idx="7">
                  <c:v>600.654</c:v>
                </c:pt>
                <c:pt idx="8">
                  <c:v>600.73299999999995</c:v>
                </c:pt>
                <c:pt idx="9">
                  <c:v>600.80799999999999</c:v>
                </c:pt>
                <c:pt idx="10">
                  <c:v>600.88</c:v>
                </c:pt>
                <c:pt idx="11">
                  <c:v>600.94799999999998</c:v>
                </c:pt>
                <c:pt idx="12">
                  <c:v>601.01300000000003</c:v>
                </c:pt>
                <c:pt idx="13">
                  <c:v>601.07500000000005</c:v>
                </c:pt>
                <c:pt idx="14">
                  <c:v>601.13199999999995</c:v>
                </c:pt>
                <c:pt idx="15">
                  <c:v>601.18600000000004</c:v>
                </c:pt>
                <c:pt idx="16">
                  <c:v>601.23699999999997</c:v>
                </c:pt>
                <c:pt idx="17">
                  <c:v>601.28399999999999</c:v>
                </c:pt>
                <c:pt idx="18">
                  <c:v>601.32799999999997</c:v>
                </c:pt>
                <c:pt idx="19">
                  <c:v>601.36800000000005</c:v>
                </c:pt>
                <c:pt idx="20">
                  <c:v>601.40499999999997</c:v>
                </c:pt>
              </c:numCache>
            </c:numRef>
          </c:yVal>
          <c:smooth val="0"/>
        </c:ser>
        <c:ser>
          <c:idx val="2"/>
          <c:order val="2"/>
          <c:tx>
            <c:strRef>
              <c:f>Sheet1!$B$67</c:f>
              <c:strCache>
                <c:ptCount val="1"/>
                <c:pt idx="0">
                  <c:v>2016</c:v>
                </c:pt>
              </c:strCache>
            </c:strRef>
          </c:tx>
          <c:spPr>
            <a:ln w="28575">
              <a:noFill/>
            </a:ln>
          </c:spPr>
          <c:xVal>
            <c:numRef>
              <c:f>Sheet1!$L$14:$L$34</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Sheet1!$E$76:$E$96</c:f>
              <c:numCache>
                <c:formatCode>General</c:formatCode>
                <c:ptCount val="21"/>
                <c:pt idx="0">
                  <c:v>600</c:v>
                </c:pt>
                <c:pt idx="1">
                  <c:v>600.04200000000003</c:v>
                </c:pt>
                <c:pt idx="2">
                  <c:v>600.08000000000004</c:v>
                </c:pt>
                <c:pt idx="3">
                  <c:v>600.11500000000001</c:v>
                </c:pt>
                <c:pt idx="4">
                  <c:v>600.14599999999996</c:v>
                </c:pt>
                <c:pt idx="5">
                  <c:v>600.17399999999998</c:v>
                </c:pt>
                <c:pt idx="6">
                  <c:v>600.19799999999998</c:v>
                </c:pt>
                <c:pt idx="7">
                  <c:v>600.21900000000005</c:v>
                </c:pt>
                <c:pt idx="8">
                  <c:v>600.23599999999999</c:v>
                </c:pt>
                <c:pt idx="9">
                  <c:v>600.24900000000002</c:v>
                </c:pt>
                <c:pt idx="10">
                  <c:v>600.25900000000001</c:v>
                </c:pt>
                <c:pt idx="11">
                  <c:v>600.26599999999996</c:v>
                </c:pt>
                <c:pt idx="12">
                  <c:v>600.26900000000001</c:v>
                </c:pt>
                <c:pt idx="13">
                  <c:v>600.26800000000003</c:v>
                </c:pt>
                <c:pt idx="14">
                  <c:v>600.26400000000001</c:v>
                </c:pt>
                <c:pt idx="15">
                  <c:v>600.25599999999997</c:v>
                </c:pt>
                <c:pt idx="16">
                  <c:v>600.245</c:v>
                </c:pt>
                <c:pt idx="17">
                  <c:v>600.23</c:v>
                </c:pt>
                <c:pt idx="18">
                  <c:v>600.21199999999999</c:v>
                </c:pt>
                <c:pt idx="19">
                  <c:v>600.19000000000005</c:v>
                </c:pt>
                <c:pt idx="20">
                  <c:v>600.16499999999996</c:v>
                </c:pt>
              </c:numCache>
            </c:numRef>
          </c:yVal>
          <c:smooth val="0"/>
        </c:ser>
        <c:ser>
          <c:idx val="3"/>
          <c:order val="3"/>
          <c:tx>
            <c:v>Rear2018</c:v>
          </c:tx>
          <c:spPr>
            <a:ln w="28575">
              <a:noFill/>
            </a:ln>
          </c:spPr>
          <c:marker>
            <c:spPr>
              <a:ln w="44450">
                <a:solidFill>
                  <a:schemeClr val="accent1"/>
                </a:solidFill>
              </a:ln>
            </c:spPr>
          </c:marker>
          <c:xVal>
            <c:numRef>
              <c:f>Sheet1!$J$201:$J$221</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Sheet1!$L$201:$L$221</c:f>
              <c:numCache>
                <c:formatCode>General</c:formatCode>
                <c:ptCount val="21"/>
                <c:pt idx="0">
                  <c:v>600</c:v>
                </c:pt>
                <c:pt idx="1">
                  <c:v>600.11500000000001</c:v>
                </c:pt>
                <c:pt idx="2">
                  <c:v>600.22699999999998</c:v>
                </c:pt>
                <c:pt idx="3">
                  <c:v>600.33399999999995</c:v>
                </c:pt>
                <c:pt idx="4">
                  <c:v>600.43700000000001</c:v>
                </c:pt>
                <c:pt idx="5">
                  <c:v>600.53599999999994</c:v>
                </c:pt>
                <c:pt idx="6">
                  <c:v>600.63099999999997</c:v>
                </c:pt>
                <c:pt idx="7">
                  <c:v>600.72299999999996</c:v>
                </c:pt>
                <c:pt idx="8">
                  <c:v>600.80999999999995</c:v>
                </c:pt>
                <c:pt idx="9">
                  <c:v>600.89200000000005</c:v>
                </c:pt>
                <c:pt idx="10">
                  <c:v>600.971</c:v>
                </c:pt>
                <c:pt idx="11">
                  <c:v>601.04600000000005</c:v>
                </c:pt>
                <c:pt idx="12">
                  <c:v>601.11699999999996</c:v>
                </c:pt>
                <c:pt idx="13">
                  <c:v>601.18399999999997</c:v>
                </c:pt>
                <c:pt idx="14">
                  <c:v>601.24699999999996</c:v>
                </c:pt>
                <c:pt idx="15">
                  <c:v>601.30600000000004</c:v>
                </c:pt>
                <c:pt idx="16">
                  <c:v>601.36</c:v>
                </c:pt>
                <c:pt idx="17">
                  <c:v>601.41099999999994</c:v>
                </c:pt>
                <c:pt idx="18">
                  <c:v>601.45799999999997</c:v>
                </c:pt>
                <c:pt idx="19">
                  <c:v>601.50099999999998</c:v>
                </c:pt>
                <c:pt idx="20">
                  <c:v>601.54</c:v>
                </c:pt>
              </c:numCache>
            </c:numRef>
          </c:yVal>
          <c:smooth val="0"/>
        </c:ser>
        <c:ser>
          <c:idx val="4"/>
          <c:order val="4"/>
          <c:tx>
            <c:v>Rear2017</c:v>
          </c:tx>
          <c:spPr>
            <a:ln w="28575">
              <a:noFill/>
            </a:ln>
          </c:spPr>
          <c:marker>
            <c:spPr>
              <a:ln w="44450">
                <a:solidFill>
                  <a:schemeClr val="accent2"/>
                </a:solidFill>
              </a:ln>
            </c:spPr>
          </c:marker>
          <c:xVal>
            <c:numRef>
              <c:f>Sheet1!$J$233:$J$253</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Sheet1!$L$233:$L$253</c:f>
              <c:numCache>
                <c:formatCode>General</c:formatCode>
                <c:ptCount val="21"/>
                <c:pt idx="0">
                  <c:v>600</c:v>
                </c:pt>
                <c:pt idx="1">
                  <c:v>600.11199999999997</c:v>
                </c:pt>
                <c:pt idx="2">
                  <c:v>600.221</c:v>
                </c:pt>
                <c:pt idx="3">
                  <c:v>600.32600000000002</c:v>
                </c:pt>
                <c:pt idx="4">
                  <c:v>600.42600000000004</c:v>
                </c:pt>
                <c:pt idx="5">
                  <c:v>600.52300000000002</c:v>
                </c:pt>
                <c:pt idx="6">
                  <c:v>600.61599999999999</c:v>
                </c:pt>
                <c:pt idx="7">
                  <c:v>600.70600000000002</c:v>
                </c:pt>
                <c:pt idx="8">
                  <c:v>600.79100000000005</c:v>
                </c:pt>
                <c:pt idx="9">
                  <c:v>600.87300000000005</c:v>
                </c:pt>
                <c:pt idx="10">
                  <c:v>600.95000000000005</c:v>
                </c:pt>
                <c:pt idx="11">
                  <c:v>601.024</c:v>
                </c:pt>
                <c:pt idx="12">
                  <c:v>601.09400000000005</c:v>
                </c:pt>
                <c:pt idx="13">
                  <c:v>601.16099999999994</c:v>
                </c:pt>
                <c:pt idx="14">
                  <c:v>601.22299999999996</c:v>
                </c:pt>
                <c:pt idx="15">
                  <c:v>601.28200000000004</c:v>
                </c:pt>
                <c:pt idx="16">
                  <c:v>601.33699999999999</c:v>
                </c:pt>
                <c:pt idx="17">
                  <c:v>601.38800000000003</c:v>
                </c:pt>
                <c:pt idx="18">
                  <c:v>601.43499999999995</c:v>
                </c:pt>
                <c:pt idx="19">
                  <c:v>601.47799999999995</c:v>
                </c:pt>
                <c:pt idx="20">
                  <c:v>601.51800000000003</c:v>
                </c:pt>
              </c:numCache>
            </c:numRef>
          </c:yVal>
          <c:smooth val="0"/>
        </c:ser>
        <c:ser>
          <c:idx val="5"/>
          <c:order val="5"/>
          <c:tx>
            <c:v>Rear2016</c:v>
          </c:tx>
          <c:spPr>
            <a:ln w="28575">
              <a:noFill/>
            </a:ln>
          </c:spPr>
          <c:marker>
            <c:spPr>
              <a:solidFill>
                <a:schemeClr val="accent3"/>
              </a:solidFill>
              <a:ln w="44450">
                <a:solidFill>
                  <a:schemeClr val="accent3"/>
                </a:solidFill>
              </a:ln>
            </c:spPr>
          </c:marker>
          <c:xVal>
            <c:numRef>
              <c:f>Sheet1!$J$264:$J$284</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Sheet1!$L$264:$L$284</c:f>
              <c:numCache>
                <c:formatCode>General</c:formatCode>
                <c:ptCount val="21"/>
                <c:pt idx="0">
                  <c:v>600</c:v>
                </c:pt>
                <c:pt idx="1">
                  <c:v>600.08299999999997</c:v>
                </c:pt>
                <c:pt idx="2">
                  <c:v>600.16200000000003</c:v>
                </c:pt>
                <c:pt idx="3">
                  <c:v>600.23699999999997</c:v>
                </c:pt>
                <c:pt idx="4">
                  <c:v>600.30899999999997</c:v>
                </c:pt>
                <c:pt idx="5">
                  <c:v>600.37599999999998</c:v>
                </c:pt>
                <c:pt idx="6">
                  <c:v>600.43899999999996</c:v>
                </c:pt>
                <c:pt idx="7">
                  <c:v>600.49900000000002</c:v>
                </c:pt>
                <c:pt idx="8">
                  <c:v>600.55499999999995</c:v>
                </c:pt>
                <c:pt idx="9">
                  <c:v>600.60599999999999</c:v>
                </c:pt>
                <c:pt idx="10">
                  <c:v>600.654</c:v>
                </c:pt>
                <c:pt idx="11">
                  <c:v>600.69799999999998</c:v>
                </c:pt>
                <c:pt idx="12">
                  <c:v>600.73800000000006</c:v>
                </c:pt>
                <c:pt idx="13">
                  <c:v>600.774</c:v>
                </c:pt>
                <c:pt idx="14">
                  <c:v>600.80600000000004</c:v>
                </c:pt>
                <c:pt idx="15">
                  <c:v>600.83399999999995</c:v>
                </c:pt>
                <c:pt idx="16">
                  <c:v>600.85799999999995</c:v>
                </c:pt>
                <c:pt idx="17">
                  <c:v>600.87900000000002</c:v>
                </c:pt>
                <c:pt idx="18">
                  <c:v>600.89499999999998</c:v>
                </c:pt>
                <c:pt idx="19">
                  <c:v>600.90800000000002</c:v>
                </c:pt>
                <c:pt idx="20">
                  <c:v>600.91700000000003</c:v>
                </c:pt>
              </c:numCache>
            </c:numRef>
          </c:yVal>
          <c:smooth val="0"/>
        </c:ser>
        <c:dLbls>
          <c:showLegendKey val="0"/>
          <c:showVal val="0"/>
          <c:showCatName val="0"/>
          <c:showSerName val="0"/>
          <c:showPercent val="0"/>
          <c:showBubbleSize val="0"/>
        </c:dLbls>
        <c:axId val="406979712"/>
        <c:axId val="406986048"/>
      </c:scatterChart>
      <c:valAx>
        <c:axId val="406979712"/>
        <c:scaling>
          <c:orientation val="minMax"/>
          <c:max val="0"/>
          <c:min val="-25"/>
        </c:scaling>
        <c:delete val="0"/>
        <c:axPos val="b"/>
        <c:title>
          <c:tx>
            <c:rich>
              <a:bodyPr/>
              <a:lstStyle/>
              <a:p>
                <a:pPr>
                  <a:defRPr/>
                </a:pPr>
                <a:r>
                  <a:rPr lang="en-US" altLang="ja-JP" sz="1800"/>
                  <a:t>Heave[mm]</a:t>
                </a:r>
                <a:endParaRPr lang="ja-JP" altLang="en-US" sz="1800"/>
              </a:p>
            </c:rich>
          </c:tx>
          <c:layout/>
          <c:overlay val="0"/>
        </c:title>
        <c:numFmt formatCode="General" sourceLinked="1"/>
        <c:majorTickMark val="out"/>
        <c:minorTickMark val="none"/>
        <c:tickLblPos val="nextTo"/>
        <c:txPr>
          <a:bodyPr/>
          <a:lstStyle/>
          <a:p>
            <a:pPr>
              <a:defRPr sz="1800"/>
            </a:pPr>
            <a:endParaRPr lang="ja-JP"/>
          </a:p>
        </c:txPr>
        <c:crossAx val="406986048"/>
        <c:crosses val="autoZero"/>
        <c:crossBetween val="midCat"/>
        <c:majorUnit val="5"/>
        <c:minorUnit val="2"/>
      </c:valAx>
      <c:valAx>
        <c:axId val="406986048"/>
        <c:scaling>
          <c:orientation val="minMax"/>
          <c:max val="601.80000000000007"/>
          <c:min val="599.79999999999995"/>
        </c:scaling>
        <c:delete val="0"/>
        <c:axPos val="l"/>
        <c:majorGridlines/>
        <c:title>
          <c:tx>
            <c:rich>
              <a:bodyPr rot="-5400000" vert="horz"/>
              <a:lstStyle/>
              <a:p>
                <a:pPr>
                  <a:defRPr/>
                </a:pPr>
                <a:r>
                  <a:rPr lang="en-US" altLang="ja-JP" sz="1800"/>
                  <a:t>HlafTrack[</a:t>
                </a:r>
                <a:r>
                  <a:rPr lang="ja-JP" altLang="en-US" sz="1800"/>
                  <a:t>ｍｍ</a:t>
                </a:r>
                <a:r>
                  <a:rPr lang="en-US" altLang="ja-JP" sz="1800"/>
                  <a:t>]</a:t>
                </a:r>
                <a:endParaRPr lang="ja-JP" altLang="en-US" sz="1800"/>
              </a:p>
            </c:rich>
          </c:tx>
          <c:layout>
            <c:manualLayout>
              <c:xMode val="edge"/>
              <c:yMode val="edge"/>
              <c:x val="0.86837913943779987"/>
              <c:y val="0.3268813996284165"/>
            </c:manualLayout>
          </c:layout>
          <c:overlay val="0"/>
        </c:title>
        <c:numFmt formatCode="General" sourceLinked="1"/>
        <c:majorTickMark val="out"/>
        <c:minorTickMark val="none"/>
        <c:tickLblPos val="nextTo"/>
        <c:txPr>
          <a:bodyPr/>
          <a:lstStyle/>
          <a:p>
            <a:pPr>
              <a:defRPr sz="1800"/>
            </a:pPr>
            <a:endParaRPr lang="ja-JP"/>
          </a:p>
        </c:txPr>
        <c:crossAx val="406979712"/>
        <c:crosses val="autoZero"/>
        <c:crossBetween val="midCat"/>
        <c:majorUnit val="0.2"/>
        <c:minorUnit val="4.0000000000000008E-2"/>
      </c:valAx>
    </c:plotArea>
    <c:legend>
      <c:legendPos val="r"/>
      <c:layout>
        <c:manualLayout>
          <c:xMode val="edge"/>
          <c:yMode val="edge"/>
          <c:x val="3.7451585074879487E-2"/>
          <c:y val="0.6685264804872304"/>
          <c:w val="0.61945732224454131"/>
          <c:h val="0.14363969799674434"/>
        </c:manualLayout>
      </c:layout>
      <c:overlay val="0"/>
      <c:spPr>
        <a:solidFill>
          <a:schemeClr val="bg1"/>
        </a:solidFill>
        <a:ln>
          <a:solidFill>
            <a:schemeClr val="tx1"/>
          </a:solidFill>
        </a:ln>
      </c:spPr>
      <c:txPr>
        <a:bodyPr/>
        <a:lstStyle/>
        <a:p>
          <a:pPr>
            <a:defRPr sz="1800"/>
          </a:pPr>
          <a:endParaRPr lang="ja-JP"/>
        </a:p>
      </c:txPr>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ja-JP" altLang="en-US" sz="2800" i="1" baseline="0"/>
              <a:t>追加図Ａ</a:t>
            </a:r>
            <a:r>
              <a:rPr lang="ja-JP" altLang="en-US" baseline="0"/>
              <a:t>旋回外輪側　キャンバーチェンジ</a:t>
            </a:r>
            <a:endParaRPr lang="ja-JP" altLang="en-US"/>
          </a:p>
        </c:rich>
      </c:tx>
      <c:layout>
        <c:manualLayout>
          <c:xMode val="edge"/>
          <c:yMode val="edge"/>
          <c:x val="9.5267311685145267E-2"/>
          <c:y val="0.72409371832319991"/>
        </c:manualLayout>
      </c:layout>
      <c:overlay val="0"/>
      <c:spPr>
        <a:solidFill>
          <a:schemeClr val="accent6">
            <a:lumMod val="40000"/>
            <a:lumOff val="60000"/>
          </a:schemeClr>
        </a:solidFill>
        <a:ln>
          <a:solidFill>
            <a:schemeClr val="tx1"/>
          </a:solidFill>
        </a:ln>
      </c:spPr>
    </c:title>
    <c:autoTitleDeleted val="0"/>
    <c:plotArea>
      <c:layout>
        <c:manualLayout>
          <c:layoutTarget val="inner"/>
          <c:xMode val="edge"/>
          <c:yMode val="edge"/>
          <c:x val="7.454689564188284E-2"/>
          <c:y val="8.2405461714537026E-2"/>
          <c:w val="0.7942240015680051"/>
          <c:h val="0.77567138200383656"/>
        </c:manualLayout>
      </c:layout>
      <c:scatterChart>
        <c:scatterStyle val="lineMarker"/>
        <c:varyColors val="0"/>
        <c:ser>
          <c:idx val="0"/>
          <c:order val="0"/>
          <c:tx>
            <c:v>Front2018</c:v>
          </c:tx>
          <c:spPr>
            <a:ln w="28575">
              <a:noFill/>
            </a:ln>
          </c:spPr>
          <c:xVal>
            <c:numRef>
              <c:f>Sheet1!$M$107:$M$127</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Sheet1!$G$107:$G$127</c:f>
              <c:numCache>
                <c:formatCode>General</c:formatCode>
                <c:ptCount val="21"/>
                <c:pt idx="0">
                  <c:v>-1</c:v>
                </c:pt>
                <c:pt idx="1">
                  <c:v>-1.0029999999999999</c:v>
                </c:pt>
                <c:pt idx="2">
                  <c:v>-1.006</c:v>
                </c:pt>
                <c:pt idx="3">
                  <c:v>-1.0069999999999999</c:v>
                </c:pt>
                <c:pt idx="4">
                  <c:v>-1.008</c:v>
                </c:pt>
                <c:pt idx="5">
                  <c:v>-1.008</c:v>
                </c:pt>
                <c:pt idx="6">
                  <c:v>-1.0069999999999999</c:v>
                </c:pt>
                <c:pt idx="7">
                  <c:v>-1.0049999999999999</c:v>
                </c:pt>
                <c:pt idx="8">
                  <c:v>-1.002</c:v>
                </c:pt>
                <c:pt idx="9">
                  <c:v>-0.999</c:v>
                </c:pt>
                <c:pt idx="10">
                  <c:v>-0.99399999999999999</c:v>
                </c:pt>
                <c:pt idx="11">
                  <c:v>-0.98899999999999999</c:v>
                </c:pt>
                <c:pt idx="12">
                  <c:v>-0.98399999999999999</c:v>
                </c:pt>
                <c:pt idx="13">
                  <c:v>-0.97699999999999998</c:v>
                </c:pt>
                <c:pt idx="14">
                  <c:v>-0.97</c:v>
                </c:pt>
                <c:pt idx="15">
                  <c:v>-0.96299999999999997</c:v>
                </c:pt>
                <c:pt idx="16">
                  <c:v>-0.95499999999999996</c:v>
                </c:pt>
                <c:pt idx="17">
                  <c:v>-0.94599999999999995</c:v>
                </c:pt>
                <c:pt idx="18">
                  <c:v>-0.93600000000000005</c:v>
                </c:pt>
                <c:pt idx="19">
                  <c:v>-0.92600000000000005</c:v>
                </c:pt>
                <c:pt idx="20">
                  <c:v>-0.91500000000000004</c:v>
                </c:pt>
              </c:numCache>
            </c:numRef>
          </c:yVal>
          <c:smooth val="0"/>
        </c:ser>
        <c:ser>
          <c:idx val="1"/>
          <c:order val="1"/>
          <c:tx>
            <c:v>Front2017</c:v>
          </c:tx>
          <c:spPr>
            <a:ln w="28575">
              <a:noFill/>
            </a:ln>
          </c:spPr>
          <c:xVal>
            <c:numRef>
              <c:f>Sheet1!$M$138:$M$158</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Sheet1!$G$138:$G$158</c:f>
              <c:numCache>
                <c:formatCode>General</c:formatCode>
                <c:ptCount val="21"/>
                <c:pt idx="0">
                  <c:v>-1</c:v>
                </c:pt>
                <c:pt idx="1">
                  <c:v>-1.0169999999999999</c:v>
                </c:pt>
                <c:pt idx="2">
                  <c:v>-1.0329999999999999</c:v>
                </c:pt>
                <c:pt idx="3">
                  <c:v>-1.048</c:v>
                </c:pt>
                <c:pt idx="4">
                  <c:v>-1.0620000000000001</c:v>
                </c:pt>
                <c:pt idx="5">
                  <c:v>-1.075</c:v>
                </c:pt>
                <c:pt idx="6">
                  <c:v>-1.0860000000000001</c:v>
                </c:pt>
                <c:pt idx="7">
                  <c:v>-1.097</c:v>
                </c:pt>
                <c:pt idx="8">
                  <c:v>-1.107</c:v>
                </c:pt>
                <c:pt idx="9">
                  <c:v>-1.115</c:v>
                </c:pt>
                <c:pt idx="10">
                  <c:v>-1.123</c:v>
                </c:pt>
                <c:pt idx="11">
                  <c:v>-1.1299999999999999</c:v>
                </c:pt>
                <c:pt idx="12">
                  <c:v>-1.1359999999999999</c:v>
                </c:pt>
                <c:pt idx="13">
                  <c:v>-1.141</c:v>
                </c:pt>
                <c:pt idx="14">
                  <c:v>-1.145</c:v>
                </c:pt>
                <c:pt idx="15">
                  <c:v>-1.1479999999999999</c:v>
                </c:pt>
                <c:pt idx="16">
                  <c:v>-1.1499999999999999</c:v>
                </c:pt>
                <c:pt idx="17">
                  <c:v>-1.1519999999999999</c:v>
                </c:pt>
                <c:pt idx="18">
                  <c:v>-1.1519999999999999</c:v>
                </c:pt>
                <c:pt idx="19">
                  <c:v>-1.1519999999999999</c:v>
                </c:pt>
                <c:pt idx="20">
                  <c:v>-1.151</c:v>
                </c:pt>
              </c:numCache>
            </c:numRef>
          </c:yVal>
          <c:smooth val="0"/>
        </c:ser>
        <c:ser>
          <c:idx val="2"/>
          <c:order val="2"/>
          <c:tx>
            <c:v>Front2016</c:v>
          </c:tx>
          <c:spPr>
            <a:ln w="28575">
              <a:noFill/>
            </a:ln>
          </c:spPr>
          <c:xVal>
            <c:numRef>
              <c:f>Sheet1!$M$169:$M$189</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Sheet1!$G$169:$G$189</c:f>
              <c:numCache>
                <c:formatCode>General</c:formatCode>
                <c:ptCount val="21"/>
                <c:pt idx="0">
                  <c:v>-1</c:v>
                </c:pt>
                <c:pt idx="1">
                  <c:v>-1.004</c:v>
                </c:pt>
                <c:pt idx="2">
                  <c:v>-1.0069999999999999</c:v>
                </c:pt>
                <c:pt idx="3">
                  <c:v>-1.01</c:v>
                </c:pt>
                <c:pt idx="4">
                  <c:v>-1.0109999999999999</c:v>
                </c:pt>
                <c:pt idx="5">
                  <c:v>-1.012</c:v>
                </c:pt>
                <c:pt idx="6">
                  <c:v>-1.012</c:v>
                </c:pt>
                <c:pt idx="7">
                  <c:v>-1.0109999999999999</c:v>
                </c:pt>
                <c:pt idx="8">
                  <c:v>-1.0089999999999999</c:v>
                </c:pt>
                <c:pt idx="9">
                  <c:v>-1.0069999999999999</c:v>
                </c:pt>
                <c:pt idx="10">
                  <c:v>-1.004</c:v>
                </c:pt>
                <c:pt idx="11">
                  <c:v>-1</c:v>
                </c:pt>
                <c:pt idx="12">
                  <c:v>-0.996</c:v>
                </c:pt>
                <c:pt idx="13">
                  <c:v>-0.99099999999999999</c:v>
                </c:pt>
                <c:pt idx="14">
                  <c:v>-0.98499999999999999</c:v>
                </c:pt>
                <c:pt idx="15">
                  <c:v>-0.97899999999999998</c:v>
                </c:pt>
                <c:pt idx="16">
                  <c:v>-0.97299999999999998</c:v>
                </c:pt>
                <c:pt idx="17">
                  <c:v>-0.96499999999999997</c:v>
                </c:pt>
                <c:pt idx="18">
                  <c:v>-0.95799999999999996</c:v>
                </c:pt>
                <c:pt idx="19">
                  <c:v>-0.94899999999999995</c:v>
                </c:pt>
                <c:pt idx="20">
                  <c:v>-0.94</c:v>
                </c:pt>
              </c:numCache>
            </c:numRef>
          </c:yVal>
          <c:smooth val="0"/>
        </c:ser>
        <c:ser>
          <c:idx val="3"/>
          <c:order val="3"/>
          <c:tx>
            <c:v>Rear2016</c:v>
          </c:tx>
          <c:spPr>
            <a:ln w="0">
              <a:noFill/>
            </a:ln>
          </c:spPr>
          <c:marker>
            <c:symbol val="x"/>
            <c:size val="10"/>
            <c:spPr>
              <a:noFill/>
              <a:ln w="38100">
                <a:solidFill>
                  <a:schemeClr val="accent3">
                    <a:lumMod val="75000"/>
                  </a:schemeClr>
                </a:solidFill>
              </a:ln>
            </c:spPr>
          </c:marker>
          <c:xVal>
            <c:numRef>
              <c:f>Sheet1!$M$107:$M$127</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Sheet1!$AK$107:$AK$127</c:f>
              <c:numCache>
                <c:formatCode>General</c:formatCode>
                <c:ptCount val="21"/>
                <c:pt idx="0">
                  <c:v>-1</c:v>
                </c:pt>
                <c:pt idx="1">
                  <c:v>-1.056</c:v>
                </c:pt>
                <c:pt idx="2">
                  <c:v>-1.113</c:v>
                </c:pt>
                <c:pt idx="3">
                  <c:v>-1.17</c:v>
                </c:pt>
                <c:pt idx="4">
                  <c:v>-1.226</c:v>
                </c:pt>
                <c:pt idx="5">
                  <c:v>-1.2829999999999999</c:v>
                </c:pt>
                <c:pt idx="6">
                  <c:v>-1.34</c:v>
                </c:pt>
                <c:pt idx="7">
                  <c:v>-1.397</c:v>
                </c:pt>
                <c:pt idx="8">
                  <c:v>-1.454</c:v>
                </c:pt>
                <c:pt idx="9">
                  <c:v>-1.512</c:v>
                </c:pt>
                <c:pt idx="10">
                  <c:v>-1.569</c:v>
                </c:pt>
                <c:pt idx="11">
                  <c:v>-1.6259999999999999</c:v>
                </c:pt>
                <c:pt idx="12">
                  <c:v>-1.6839999999999999</c:v>
                </c:pt>
                <c:pt idx="13">
                  <c:v>-1.7410000000000001</c:v>
                </c:pt>
                <c:pt idx="14">
                  <c:v>-1.7989999999999999</c:v>
                </c:pt>
                <c:pt idx="15">
                  <c:v>-1.8560000000000001</c:v>
                </c:pt>
                <c:pt idx="16">
                  <c:v>-1.9139999999999999</c:v>
                </c:pt>
                <c:pt idx="17">
                  <c:v>-1.972</c:v>
                </c:pt>
                <c:pt idx="18">
                  <c:v>-2.0299999999999998</c:v>
                </c:pt>
                <c:pt idx="19">
                  <c:v>-2.0880000000000001</c:v>
                </c:pt>
                <c:pt idx="20">
                  <c:v>-2.1459999999999999</c:v>
                </c:pt>
              </c:numCache>
            </c:numRef>
          </c:yVal>
          <c:smooth val="0"/>
        </c:ser>
        <c:ser>
          <c:idx val="4"/>
          <c:order val="4"/>
          <c:tx>
            <c:v>Rear2017</c:v>
          </c:tx>
          <c:spPr>
            <a:ln w="28575">
              <a:noFill/>
            </a:ln>
          </c:spPr>
          <c:marker>
            <c:spPr>
              <a:ln w="44450">
                <a:solidFill>
                  <a:schemeClr val="accent2"/>
                </a:solidFill>
              </a:ln>
            </c:spPr>
          </c:marker>
          <c:xVal>
            <c:numRef>
              <c:f>Sheet1!$M$138:$M$158</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Sheet1!$AK$138:$AK$158</c:f>
              <c:numCache>
                <c:formatCode>General</c:formatCode>
                <c:ptCount val="21"/>
                <c:pt idx="0">
                  <c:v>-1</c:v>
                </c:pt>
                <c:pt idx="1">
                  <c:v>-1.042</c:v>
                </c:pt>
                <c:pt idx="2">
                  <c:v>-1.085</c:v>
                </c:pt>
                <c:pt idx="3">
                  <c:v>-1.127</c:v>
                </c:pt>
                <c:pt idx="4">
                  <c:v>-1.17</c:v>
                </c:pt>
                <c:pt idx="5">
                  <c:v>-1.2130000000000001</c:v>
                </c:pt>
                <c:pt idx="6">
                  <c:v>-1.2549999999999999</c:v>
                </c:pt>
                <c:pt idx="7">
                  <c:v>-1.298</c:v>
                </c:pt>
                <c:pt idx="8">
                  <c:v>-1.341</c:v>
                </c:pt>
                <c:pt idx="9">
                  <c:v>-1.3839999999999999</c:v>
                </c:pt>
                <c:pt idx="10">
                  <c:v>-1.4279999999999999</c:v>
                </c:pt>
                <c:pt idx="11">
                  <c:v>-1.4710000000000001</c:v>
                </c:pt>
                <c:pt idx="12">
                  <c:v>-1.514</c:v>
                </c:pt>
                <c:pt idx="13">
                  <c:v>-1.5580000000000001</c:v>
                </c:pt>
                <c:pt idx="14">
                  <c:v>-1.601</c:v>
                </c:pt>
                <c:pt idx="15">
                  <c:v>-1.645</c:v>
                </c:pt>
                <c:pt idx="16">
                  <c:v>-1.6879999999999999</c:v>
                </c:pt>
                <c:pt idx="17">
                  <c:v>-1.732</c:v>
                </c:pt>
                <c:pt idx="18">
                  <c:v>-1.776</c:v>
                </c:pt>
                <c:pt idx="19">
                  <c:v>-1.82</c:v>
                </c:pt>
                <c:pt idx="20">
                  <c:v>-1.8640000000000001</c:v>
                </c:pt>
              </c:numCache>
            </c:numRef>
          </c:yVal>
          <c:smooth val="0"/>
        </c:ser>
        <c:ser>
          <c:idx val="5"/>
          <c:order val="5"/>
          <c:tx>
            <c:v>Rear2018</c:v>
          </c:tx>
          <c:spPr>
            <a:ln w="28575">
              <a:noFill/>
            </a:ln>
          </c:spPr>
          <c:marker>
            <c:spPr>
              <a:solidFill>
                <a:schemeClr val="accent1"/>
              </a:solidFill>
              <a:ln w="44450">
                <a:solidFill>
                  <a:schemeClr val="accent1"/>
                </a:solidFill>
              </a:ln>
            </c:spPr>
          </c:marker>
          <c:xVal>
            <c:numRef>
              <c:f>Sheet1!$M$169:$M$189</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Sheet1!$AK$169:$AK$189</c:f>
              <c:numCache>
                <c:formatCode>General</c:formatCode>
                <c:ptCount val="21"/>
                <c:pt idx="0">
                  <c:v>-1</c:v>
                </c:pt>
                <c:pt idx="1">
                  <c:v>-1.04</c:v>
                </c:pt>
                <c:pt idx="2">
                  <c:v>-1.079</c:v>
                </c:pt>
                <c:pt idx="3">
                  <c:v>-1.119</c:v>
                </c:pt>
                <c:pt idx="4">
                  <c:v>-1.159</c:v>
                </c:pt>
                <c:pt idx="5">
                  <c:v>-1.2</c:v>
                </c:pt>
                <c:pt idx="6">
                  <c:v>-1.24</c:v>
                </c:pt>
                <c:pt idx="7">
                  <c:v>-1.28</c:v>
                </c:pt>
                <c:pt idx="8">
                  <c:v>-1.321</c:v>
                </c:pt>
                <c:pt idx="9">
                  <c:v>-1.361</c:v>
                </c:pt>
                <c:pt idx="10">
                  <c:v>-1.4019999999999999</c:v>
                </c:pt>
                <c:pt idx="11">
                  <c:v>-1.4430000000000001</c:v>
                </c:pt>
                <c:pt idx="12">
                  <c:v>-1.484</c:v>
                </c:pt>
                <c:pt idx="13">
                  <c:v>-1.5249999999999999</c:v>
                </c:pt>
                <c:pt idx="14">
                  <c:v>-1.5660000000000001</c:v>
                </c:pt>
                <c:pt idx="15">
                  <c:v>-1.607</c:v>
                </c:pt>
                <c:pt idx="16">
                  <c:v>-1.6479999999999999</c:v>
                </c:pt>
                <c:pt idx="17">
                  <c:v>-1.69</c:v>
                </c:pt>
                <c:pt idx="18">
                  <c:v>-1.7310000000000001</c:v>
                </c:pt>
                <c:pt idx="19">
                  <c:v>-1.7729999999999999</c:v>
                </c:pt>
                <c:pt idx="20">
                  <c:v>-1.8140000000000001</c:v>
                </c:pt>
              </c:numCache>
            </c:numRef>
          </c:yVal>
          <c:smooth val="0"/>
        </c:ser>
        <c:dLbls>
          <c:showLegendKey val="0"/>
          <c:showVal val="0"/>
          <c:showCatName val="0"/>
          <c:showSerName val="0"/>
          <c:showPercent val="0"/>
          <c:showBubbleSize val="0"/>
        </c:dLbls>
        <c:axId val="341666624"/>
        <c:axId val="341667200"/>
      </c:scatterChart>
      <c:valAx>
        <c:axId val="341666624"/>
        <c:scaling>
          <c:orientation val="minMax"/>
          <c:max val="0"/>
          <c:min val="-2"/>
        </c:scaling>
        <c:delete val="0"/>
        <c:axPos val="b"/>
        <c:title>
          <c:tx>
            <c:rich>
              <a:bodyPr/>
              <a:lstStyle/>
              <a:p>
                <a:pPr>
                  <a:defRPr sz="1800"/>
                </a:pPr>
                <a:r>
                  <a:rPr lang="en-US" altLang="ja-JP" sz="1800"/>
                  <a:t>RollAngle[°]</a:t>
                </a:r>
                <a:endParaRPr lang="ja-JP" altLang="en-US" sz="1800"/>
              </a:p>
            </c:rich>
          </c:tx>
          <c:layout/>
          <c:overlay val="0"/>
        </c:title>
        <c:numFmt formatCode="General" sourceLinked="1"/>
        <c:majorTickMark val="out"/>
        <c:minorTickMark val="none"/>
        <c:tickLblPos val="nextTo"/>
        <c:txPr>
          <a:bodyPr/>
          <a:lstStyle/>
          <a:p>
            <a:pPr>
              <a:defRPr sz="2400"/>
            </a:pPr>
            <a:endParaRPr lang="ja-JP"/>
          </a:p>
        </c:txPr>
        <c:crossAx val="341667200"/>
        <c:crosses val="autoZero"/>
        <c:crossBetween val="midCat"/>
        <c:majorUnit val="0.5"/>
        <c:minorUnit val="0.2"/>
      </c:valAx>
      <c:valAx>
        <c:axId val="341667200"/>
        <c:scaling>
          <c:orientation val="minMax"/>
          <c:max val="0"/>
          <c:min val="-3"/>
        </c:scaling>
        <c:delete val="0"/>
        <c:axPos val="l"/>
        <c:majorGridlines/>
        <c:title>
          <c:tx>
            <c:rich>
              <a:bodyPr rot="-5400000" vert="horz"/>
              <a:lstStyle/>
              <a:p>
                <a:pPr>
                  <a:defRPr sz="1800"/>
                </a:pPr>
                <a:r>
                  <a:rPr lang="en-US" altLang="ja-JP" sz="1800"/>
                  <a:t>CamberChange[°]</a:t>
                </a:r>
                <a:endParaRPr lang="ja-JP" altLang="en-US" sz="1800"/>
              </a:p>
            </c:rich>
          </c:tx>
          <c:layout>
            <c:manualLayout>
              <c:xMode val="edge"/>
              <c:yMode val="edge"/>
              <c:x val="0.89486952103723183"/>
              <c:y val="0.34037912085616656"/>
            </c:manualLayout>
          </c:layout>
          <c:overlay val="0"/>
        </c:title>
        <c:numFmt formatCode="General" sourceLinked="1"/>
        <c:majorTickMark val="out"/>
        <c:minorTickMark val="none"/>
        <c:tickLblPos val="nextTo"/>
        <c:txPr>
          <a:bodyPr/>
          <a:lstStyle/>
          <a:p>
            <a:pPr>
              <a:defRPr sz="2400"/>
            </a:pPr>
            <a:endParaRPr lang="ja-JP"/>
          </a:p>
        </c:txPr>
        <c:crossAx val="341666624"/>
        <c:crosses val="autoZero"/>
        <c:crossBetween val="midCat"/>
        <c:majorUnit val="0.5"/>
        <c:minorUnit val="0.2"/>
      </c:valAx>
    </c:plotArea>
    <c:legend>
      <c:legendPos val="r"/>
      <c:layout>
        <c:manualLayout>
          <c:xMode val="edge"/>
          <c:yMode val="edge"/>
          <c:x val="0.10606927535743679"/>
          <c:y val="0.18667061141137675"/>
          <c:w val="0.59892462761703191"/>
          <c:h val="0.15821148110605271"/>
        </c:manualLayout>
      </c:layout>
      <c:overlay val="0"/>
      <c:spPr>
        <a:solidFill>
          <a:schemeClr val="bg1"/>
        </a:solidFill>
        <a:ln>
          <a:solidFill>
            <a:schemeClr val="tx1"/>
          </a:solidFill>
        </a:ln>
      </c:spPr>
      <c:txPr>
        <a:bodyPr/>
        <a:lstStyle/>
        <a:p>
          <a:pPr>
            <a:defRPr sz="1800"/>
          </a:pPr>
          <a:endParaRPr lang="ja-JP"/>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119</TotalTime>
  <Pages>8</Pages>
  <Words>661</Words>
  <Characters>3770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KITformula</dc:creator>
  <cp:lastModifiedBy>KITformula</cp:lastModifiedBy>
  <cp:revision>11</cp:revision>
  <dcterms:created xsi:type="dcterms:W3CDTF">2018-06-15T04:35:00Z</dcterms:created>
  <dcterms:modified xsi:type="dcterms:W3CDTF">2018-06-15T06:34:00Z</dcterms:modified>
</cp:coreProperties>
</file>