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(theme from previous analysis)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(insight derived from theme)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(theme from previous analysis)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(insight derived from theme)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(theme from previous analysis)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(insight derived from theme)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(theme from previous analysis)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(insight derived from theme)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(theme from previous analysis)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,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(insight derived from theme)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Style w:val="Heading1"/>
      <w:ind w:left="360" w:hanging="360"/>
      <w:rPr>
        <w:rFonts w:ascii="Google Sans" w:cs="Google Sans" w:eastAsia="Google Sans" w:hAnsi="Google Sans"/>
      </w:rPr>
    </w:pPr>
    <w:bookmarkStart w:colFirst="0" w:colLast="0" w:name="_9exc58kfh3cp" w:id="0"/>
    <w:bookmarkEnd w:id="0"/>
    <w:r w:rsidDel="00000000" w:rsidR="00000000" w:rsidRPr="00000000">
      <w:rPr>
        <w:rFonts w:ascii="Google Sans" w:cs="Google Sans" w:eastAsia="Google Sans" w:hAnsi="Google Sans"/>
        <w:b w:val="1"/>
        <w:color w:val="5f6368"/>
        <w:sz w:val="36"/>
        <w:szCs w:val="36"/>
        <w:rtl w:val="0"/>
      </w:rPr>
      <w:t xml:space="preserve">Insight Identification Template</w:t>
    </w:r>
    <w:r w:rsidDel="00000000" w:rsidR="00000000" w:rsidRPr="00000000">
      <w:rPr>
        <w:rFonts w:ascii="Google Sans" w:cs="Google Sans" w:eastAsia="Google Sans" w:hAnsi="Google Sans"/>
        <w:b w:val="1"/>
        <w:rtl w:val="0"/>
      </w:rPr>
      <w:t xml:space="preserve"> </w:t>
      <w:tab/>
      <w:tab/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