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이도윤 자기소개서 (테스트용 가상 인물)</w:t>
      </w:r>
    </w:p>
    <w:p>
      <w:pPr>
        <w:pStyle w:val="Heading2"/>
      </w:pPr>
      <w:r>
        <w:t>지원 동기</w:t>
      </w:r>
    </w:p>
    <w:p>
      <w:r>
        <w:t>정산 배치를 4시간에서 40분으로 줄이면서, 결제 다음 단계인 정산이 가맹점의 현금 흐름에 직접 닿는다는 것을 알게 됐습니다. 레일페이의 D+1 정산 전환 프로젝트에서 이 경험을 더 큰 규모로 써 보고 싶습니다.</w:t>
      </w:r>
    </w:p>
    <w:p>
      <w:pPr>
        <w:pStyle w:val="Heading2"/>
      </w:pPr>
      <w:r>
        <w:t>협업 경험</w:t>
      </w:r>
    </w:p>
    <w:p>
      <w:r>
        <w:t>정산 배치를 바꿀 때 기획자는 '모든 가맹점을 같은 시각에 정산'하기를 원했고, 저는 청크 단위로 나눠 순차 완료되는 구조를 제안했습니다. 가맹점 문의 데이터를 함께 보니 정산 금액이 큰 가맹점의 문의가 대부분이어서, 금액이 큰 가맹점부터 처리하는 순서로 합의했습니다.</w:t>
      </w:r>
    </w:p>
    <w:p>
      <w:pPr>
        <w:pStyle w:val="Heading2"/>
      </w:pPr>
      <w:r>
        <w:t>실패 경험</w:t>
      </w:r>
    </w:p>
    <w:p>
      <w:r>
        <w:t>결제 웹훅 중복 처리로 포인트 이중 적립 23건이 생겼습니다. 재전송을 고려하지 않은 제 설계 실수였습니다. 멱등키를 도입하고 회고 문서를 공유했으며, 이후 6개월간 같은 장애는 없었습니다.</w:t>
      </w:r>
    </w:p>
    <w:p>
      <w:pPr>
        <w:pStyle w:val="Heading2"/>
      </w:pPr>
      <w:r>
        <w:t>핵심 역량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역량</w:t>
            </w:r>
          </w:p>
        </w:tc>
        <w:tc>
          <w:tcPr>
            <w:tcW w:type="dxa" w:w="4320"/>
          </w:tcPr>
          <w:p>
            <w:r>
              <w:t>근거</w:t>
            </w:r>
          </w:p>
        </w:tc>
      </w:tr>
      <w:tr>
        <w:tc>
          <w:tcPr>
            <w:tcW w:type="dxa" w:w="4320"/>
          </w:tcPr>
          <w:p>
            <w:r>
              <w:t>성능 개선</w:t>
            </w:r>
          </w:p>
        </w:tc>
        <w:tc>
          <w:tcPr>
            <w:tcW w:type="dxa" w:w="4320"/>
          </w:tcPr>
          <w:p>
            <w:r>
              <w:t>추천 API p95 820ms → 210ms</w:t>
            </w:r>
          </w:p>
        </w:tc>
      </w:tr>
      <w:tr>
        <w:tc>
          <w:tcPr>
            <w:tcW w:type="dxa" w:w="4320"/>
          </w:tcPr>
          <w:p>
            <w:r>
              <w:t>배치 처리</w:t>
            </w:r>
          </w:p>
        </w:tc>
        <w:tc>
          <w:tcPr>
            <w:tcW w:type="dxa" w:w="4320"/>
          </w:tcPr>
          <w:p>
            <w:r>
              <w:t>정산 배치 4시간 → 40분</w:t>
            </w:r>
          </w:p>
        </w:tc>
      </w:tr>
      <w:tr>
        <w:tc>
          <w:tcPr>
            <w:tcW w:type="dxa" w:w="4320"/>
          </w:tcPr>
          <w:p>
            <w:r>
              <w:t>장애 대응</w:t>
            </w:r>
          </w:p>
        </w:tc>
        <w:tc>
          <w:tcPr>
            <w:tcW w:type="dxa" w:w="4320"/>
          </w:tcPr>
          <w:p>
            <w:r>
              <w:t>멱등키 도입 후 6개월 재발 0건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