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8"/>
        <w:spacing w:line="480" w:lineRule="auto"/>
      </w:pPr>
      <w:r>
        <w:rPr>
          <w:sz w:val="24"/>
        </w:rPr>
        <w:t>Shared clear-sky reference errors in 5G NR pilot-based rain attenuation estimation: information bound and closed-form uncertainty propagation</w:t>
      </w:r>
    </w:p>
    <w:p>
      <w:pPr>
        <w:spacing w:line="480" w:lineRule="auto"/>
        <w:jc w:val="both"/>
      </w:pPr>
      <w:r>
        <w:rPr>
          <w:b/>
        </w:rPr>
        <w:t xml:space="preserve">Abstract: </w:t>
      </w:r>
      <w:r>
        <w:rPr/>
        <w:t xml:space="preserve">Demodulation reference signals (DM-RS) of 5G New Radio (NR) give millimetre-wave links a pilot-level measurement of rain attenuation, but the clear-sky reference against which the pilots are compared is estimated from a finite number of slots and reused for every subsequent observation. Its error is common to all attenuation estimates and does not decrease with temporal averaging. This study quantifies this shared error and propagates it in closed form. For the profile amplitude estimator, the Cramér–Rao bound of the averaged attenuation separates a shared floor from an averaging term, and the shared fraction depends only on the attenuation and on the number of averaged observations relative to the number of reference slots. Propagating the reference and current noise through the stationary-point equation of the estimator gives a complete closed-form variance that retains the noise-energy terms omitted by the conventional fixed-weight linearisation; the latter falls below the information bound by the factor </w:t>
      </w:r>
      <w:r>
        <w:rPr/>
        <w:t>1 + 1/</w:t>
      </w:r>
      <w:r>
        <w:rPr>
          <w:i/>
        </w:rPr>
        <w:t>γ</w:t>
      </w:r>
      <w:r>
        <w:rPr>
          <w:vertAlign w:val="subscript"/>
        </w:rPr>
        <w:t>r</w:t>
      </w:r>
      <w:r>
        <w:rPr/>
        <w:t xml:space="preserve">, where </w:t>
      </w:r>
      <w:r>
        <w:rPr>
          <w:i/>
        </w:rPr>
        <w:t>γ</w:t>
      </w:r>
      <w:r>
        <w:rPr>
          <w:vertAlign w:val="subscript"/>
        </w:rPr>
        <w:t>r</w:t>
      </w:r>
      <w:r>
        <w:rPr/>
        <w:t xml:space="preserve"> is the per-pilot reference signal-to-noise ratio. Monte Carlo simulations through an NR DM-RS OFDM chain at 28 GHz confirm the theory. With a two-slot reference at 0 dB, nominal 95% intervals from the fixed-weight linearisation cover 79.6% of the cases, whereas the closed-form intervals cover 94.5% and stay within 94.5–95.4% in all 16 signal-to-noise and reference conditions, matching a parametric bootstrap at a small fraction of its cost. The results define when the reused reference dominates the uncertainty of averaged and accumulated rain estimates and how long the reference must be.</w:t>
      </w:r>
    </w:p>
    <w:p>
      <w:pPr>
        <w:spacing w:line="480" w:lineRule="auto"/>
        <w:jc w:val="both"/>
      </w:pPr>
      <w:r>
        <w:rPr>
          <w:b/>
        </w:rPr>
        <w:t xml:space="preserve">Keywords: </w:t>
      </w:r>
      <w:r>
        <w:rPr/>
        <w:t>5G NR; rain attenuation; demodulation reference signal; clear-sky reference; Cramér–Rao bound; uncertainty propagation.</w:t>
      </w:r>
    </w:p>
    <w:p>
      <w:pPr>
        <w:numPr>
          <w:ilvl w:val="0"/>
          <w:numId w:val="2"/>
        </w:numPr>
        <w:pStyle w:val="1"/>
        <w:spacing w:line="480" w:lineRule="auto"/>
      </w:pPr>
      <w:r>
        <w:rPr/>
        <w:t>Introduction</w:t>
      </w:r>
    </w:p>
    <w:p>
      <w:pPr>
        <w:spacing w:line="480" w:lineRule="auto"/>
        <w:ind w:firstLine="420"/>
        <w:jc w:val="both"/>
      </w:pPr>
      <w:r>
        <w:rPr/>
        <w:t>Rain attenuation along terrestrial microwave and millimetre-wave links provides path-averaged rainfall information that complements rain gauges and weather radar. Commercial microwave links have been used to map rainfall from received-power records at city and country scales, with processing chains for dry–wet classification, baseline estimation, wet-antenna correction and conversion to rain rate (Messer et al., 2006; Leijnse et al., 2007; Overeem et al., 2013, 2016; Chwala &amp; Kunstmann, 2019). Millimetre-wave backhaul links in dense urban areas further increase the sensitivity to rain (Han et al., 2020).</w:t>
      </w:r>
    </w:p>
    <w:p>
      <w:pPr>
        <w:spacing w:line="480" w:lineRule="auto"/>
        <w:ind w:firstLine="420"/>
        <w:jc w:val="both"/>
      </w:pPr>
      <w:r>
        <w:rPr/>
        <w:t>The 5G New Radio (NR) air interface offers a finer measurement than received power. Its demodulation reference signals (DM-RS) are known symbols placed on fixed subcarriers of every scheduled slot (3GPP, 2024), so the receiver obtains a complex channel observation on each pilot. In integrated sensing and communication, such pilots are the natural probe of the propagation medium (Liu et al., 2022). The pilots do not, however, measure attenuation directly: the receiver must compare them with a clear-sky reference channel, which is estimated from a finite number of rain-free slots and then reused for every subsequent observation. The error of this reference is therefore common to all attenuation estimates. Averaging over time reduces the independent receiver noise but leaves the shared component unchanged.</w:t>
      </w:r>
    </w:p>
    <w:p>
      <w:pPr>
        <w:spacing w:line="480" w:lineRule="auto"/>
        <w:ind w:firstLine="420"/>
        <w:jc w:val="both"/>
      </w:pPr>
      <w:r>
        <w:rPr/>
        <w:t>Uncertainty studies of link-based rainfall have addressed power quantisation, wet-antenna attenuation and the measurement and interpolation errors of rainfall maps (Zinevich et al., 2010; Schleiss et al., 2013; Rios Gaona et al., 2015; Pastorek et al., 2022), but not the error of a finite pilot reference. The uncertainty of a pilot-based attenuation estimate is commonly propagated by first-order linearisation (Kay, 1993), which for the estimator considered here fixes the weights and phase at the estimate. Its accuracy for short references and low signal-to-noise ratio (SNR) has not been established, and Monte Carlo propagation (Efron, 1979; JCGM, 2008) resolves the question only at a high computational cost.</w:t>
      </w:r>
    </w:p>
    <w:p>
      <w:pPr>
        <w:spacing w:line="480" w:lineRule="auto"/>
        <w:ind w:firstLine="420"/>
        <w:jc w:val="both"/>
      </w:pPr>
      <w:r>
        <w:rPr/>
        <w:t>This study addresses a single question: how large is the uncertainty created by a reused clear-sky reference, and how can it be propagated correctly in closed form? The contributions are threefold. (1) The Cramér–Rao bound of the averaged attenuation with a shared reference is derived; it yields an irreducible floor and a closed-form criterion for when the shared error dominates. (2) A complete closed-form variance of the profile amplitude estimator is obtained, and the two mechanisms by which the fixed-weight linearisation falls below the bound are identified. (3) The theory is validated by Monte Carlo simulation through an NR DM-RS OFDM chain over 16 SNR and reference-length conditions, including interval coverage and computational cost against a parametric bootstrap.</w:t>
      </w:r>
    </w:p>
    <w:p>
      <w:pPr>
        <w:spacing w:line="480" w:lineRule="auto"/>
        <w:ind w:firstLine="420"/>
        <w:jc w:val="both"/>
      </w:pPr>
      <w:r>
        <w:rPr/>
        <w:t>The following sections are arranged as follows. Section 2 introduces the signal model and derives the bound and the variance propagation. Section 3 presents the simulation study. Discussions and conclusions are given in Sections 4 and 5, respectively.</w:t>
      </w:r>
    </w:p>
    <w:p>
      <w:pPr>
        <w:numPr>
          <w:ilvl w:val="0"/>
          <w:numId w:val="2"/>
        </w:numPr>
        <w:pStyle w:val="1"/>
        <w:spacing w:line="480" w:lineRule="auto"/>
      </w:pPr>
      <w:r>
        <w:rPr/>
        <w:t>Signal model and uncertainty propagation</w:t>
      </w:r>
    </w:p>
    <w:p>
      <w:pPr>
        <w:pStyle w:val="2"/>
        <w:spacing w:line="480" w:lineRule="auto"/>
      </w:pPr>
      <w:r>
        <w:rPr/>
        <w:t>2.1 NR DM-RS pilot observation model</w:t>
      </w:r>
    </w:p>
    <w:p>
      <w:pPr>
        <w:spacing w:line="480" w:lineRule="auto"/>
        <w:ind w:firstLine="420"/>
        <w:jc w:val="both"/>
      </w:pPr>
      <w:r>
        <w:rPr/>
        <w:t xml:space="preserve">For a link of length </w:t>
      </w:r>
      <w:r>
        <w:rPr>
          <w:i/>
        </w:rPr>
        <w:t>L</w:t>
      </w:r>
      <w:r>
        <w:rPr/>
        <w:t xml:space="preserve"> (km), the rain-induced attenuation (dB) follows the power law of Recommendation ITU-R P.838-3 (ITU-R, 2005):</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622046" cy="159694"/>
                  <wp:docPr id="1" name="Picture 1"/>
                  <wp:cNvGraphicFramePr>
                    <a:graphicFrameLocks noChangeAspect="1"/>
                  </wp:cNvGraphicFramePr>
                  <a:graphic>
                    <a:graphicData uri="http://schemas.openxmlformats.org/drawingml/2006/picture">
                      <pic:pic>
                        <pic:nvPicPr>
                          <pic:cNvPr id="0" name="eq01.png"/>
                          <pic:cNvPicPr/>
                        </pic:nvPicPr>
                        <pic:blipFill>
                          <a:blip r:embed="rId1"/>
                          <a:stretch>
                            <a:fillRect/>
                          </a:stretch>
                        </pic:blipFill>
                        <pic:spPr>
                          <a:xfrm>
                            <a:off x="0" y="0"/>
                            <a:ext cx="622046" cy="159694"/>
                          </a:xfrm>
                          <a:prstGeom prst="rect"/>
                        </pic:spPr>
                      </pic:pic>
                    </a:graphicData>
                  </a:graphic>
                </wp:inline>
              </w:drawing>
            </w:r>
          </w:p>
        </w:tc>
        <w:tc>
          <w:tcPr>
            <w:tcW w:type="dxa" w:w="646"/>
            <w:vAlign w:val="center"/>
          </w:tcPr>
          <w:p>
            <w:pPr>
              <w:snapToGrid w:val="0"/>
              <w:spacing w:line="240" w:lineRule="auto" w:before="120" w:after="120"/>
              <w:jc w:val="center"/>
            </w:pPr>
            <w:r>
              <w:t>(1)</w:t>
            </w:r>
          </w:p>
        </w:tc>
      </w:tr>
    </w:tbl>
    <w:p>
      <w:pPr>
        <w:spacing w:line="480" w:lineRule="auto"/>
        <w:jc w:val="both"/>
      </w:pPr>
      <w:r>
        <w:rPr/>
        <w:t xml:space="preserve">where </w:t>
      </w:r>
      <w:r>
        <w:rPr>
          <w:i/>
        </w:rPr>
        <w:t>R</w:t>
      </w:r>
      <w:r>
        <w:rPr>
          <w:i/>
          <w:vertAlign w:val="subscript"/>
        </w:rPr>
        <w:t>t</w:t>
      </w:r>
      <w:r>
        <w:rPr/>
        <w:t xml:space="preserve"> is the path-averaged rain rate (mm/h) at observation </w:t>
      </w:r>
      <w:r>
        <w:rPr>
          <w:i/>
        </w:rPr>
        <w:t>t</w:t>
      </w:r>
      <w:r>
        <w:rPr/>
        <w:t xml:space="preserve"> and </w:t>
      </w:r>
      <w:r>
        <w:rPr>
          <w:i/>
        </w:rPr>
        <w:t>k</w:t>
      </w:r>
      <w:r>
        <w:rPr/>
        <w:t xml:space="preserve"> and </w:t>
      </w:r>
      <w:r>
        <w:rPr>
          <w:i/>
        </w:rPr>
        <w:t>α</w:t>
      </w:r>
      <w:r>
        <w:rPr/>
        <w:t xml:space="preserve"> depend on frequency and polarisation. The receiver observes NR downlink slots carrying PDSCH DM-RS of configuration type 1 on OFDM symbols 2 and 11, on every other subcarrier of the allocation (3GPP, 2024), which gives </w:t>
      </w:r>
      <w:r>
        <w:rPr>
          <w:i/>
        </w:rPr>
        <w:t>J</w:t>
      </w:r>
      <w:r>
        <w:rPr/>
        <w:t xml:space="preserve"> pilots per slot (</w:t>
      </w:r>
      <w:r>
        <w:rPr>
          <w:i/>
        </w:rPr>
        <w:t>J</w:t>
      </w:r>
      <w:r>
        <w:rPr/>
        <w:t xml:space="preserve"> = 144</w:t>
      </w:r>
      <w:r>
        <w:rPr/>
        <w:t xml:space="preserve"> for 12 resource blocks). After cyclic-prefix removal, FFT and division by the known DM-RS symbols, the least-squares pilot estimates are modelled as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3069082" cy="199627"/>
                  <wp:docPr id="2" name="Picture 2"/>
                  <wp:cNvGraphicFramePr>
                    <a:graphicFrameLocks noChangeAspect="1"/>
                  </wp:cNvGraphicFramePr>
                  <a:graphic>
                    <a:graphicData uri="http://schemas.openxmlformats.org/drawingml/2006/picture">
                      <pic:pic>
                        <pic:nvPicPr>
                          <pic:cNvPr id="0" name="eq02.png"/>
                          <pic:cNvPicPr/>
                        </pic:nvPicPr>
                        <pic:blipFill>
                          <a:blip r:embed="rId8"/>
                          <a:stretch>
                            <a:fillRect/>
                          </a:stretch>
                        </pic:blipFill>
                        <pic:spPr>
                          <a:xfrm>
                            <a:off x="0" y="0"/>
                            <a:ext cx="3069082" cy="199627"/>
                          </a:xfrm>
                          <a:prstGeom prst="rect"/>
                        </pic:spPr>
                      </pic:pic>
                    </a:graphicData>
                  </a:graphic>
                </wp:inline>
              </w:drawing>
            </w:r>
          </w:p>
        </w:tc>
        <w:tc>
          <w:tcPr>
            <w:tcW w:type="dxa" w:w="646"/>
            <w:vAlign w:val="center"/>
          </w:tcPr>
          <w:p>
            <w:pPr>
              <w:snapToGrid w:val="0"/>
              <w:spacing w:line="240" w:lineRule="auto" w:before="120" w:after="120"/>
              <w:jc w:val="center"/>
            </w:pPr>
            <w:r>
              <w:t>(2)</w:t>
            </w:r>
          </w:p>
        </w:tc>
      </w:tr>
    </w:tbl>
    <w:p>
      <w:pPr>
        <w:spacing w:line="480" w:lineRule="auto"/>
        <w:jc w:val="both"/>
      </w:pPr>
      <w:r>
        <w:rPr/>
        <w:t xml:space="preserve">where </w:t>
      </w:r>
      <w:r>
        <w:rPr>
          <w:i/>
        </w:rPr>
        <w:t>h</w:t>
      </w:r>
      <w:r>
        <w:rPr>
          <w:i/>
          <w:vertAlign w:val="subscript"/>
        </w:rPr>
        <w:t>j</w:t>
      </w:r>
      <w:r>
        <w:rPr/>
        <w:t xml:space="preserve"> is the unknown clear-sky channel on pilot </w:t>
      </w:r>
      <w:r>
        <w:rPr>
          <w:i/>
        </w:rPr>
        <w:t>j</w:t>
      </w:r>
      <w:r>
        <w:rPr/>
        <w:t xml:space="preserve">, </w:t>
      </w:r>
      <w:r>
        <w:rPr>
          <w:i/>
        </w:rPr>
        <w:t>r</w:t>
      </w:r>
      <w:r>
        <w:rPr>
          <w:i/>
          <w:vertAlign w:val="subscript"/>
        </w:rPr>
        <w:t>j</w:t>
      </w:r>
      <w:r>
        <w:rPr/>
        <w:t xml:space="preserve"> is the reference obtained by coherently averaging </w:t>
      </w:r>
      <w:r>
        <w:rPr>
          <w:i/>
        </w:rPr>
        <w:t>M</w:t>
      </w:r>
      <w:r>
        <w:rPr/>
        <w:t xml:space="preserve"> clear-sky slots, </w:t>
      </w:r>
      <w:r>
        <w:rPr>
          <w:i/>
        </w:rPr>
        <w:t>z</w:t>
      </w:r>
      <w:r>
        <w:rPr>
          <w:i/>
          <w:vertAlign w:val="subscript"/>
        </w:rPr>
        <w:t>tj</w:t>
      </w:r>
      <w:r>
        <w:rPr/>
        <w:t xml:space="preserve"> is the pilot of rain observation </w:t>
      </w:r>
      <w:r>
        <w:rPr>
          <w:i/>
        </w:rPr>
        <w:t>t</w:t>
      </w:r>
      <w:r>
        <w:rPr/>
        <w:t xml:space="preserve"> with common phase </w:t>
      </w:r>
      <w:r>
        <w:rPr>
          <w:i/>
        </w:rPr>
        <w:t>φ</w:t>
      </w:r>
      <w:r>
        <w:rPr>
          <w:i/>
          <w:vertAlign w:val="subscript"/>
        </w:rPr>
        <w:t>t</w:t>
      </w:r>
      <w:r>
        <w:rPr/>
        <w:t xml:space="preserve">, and </w:t>
      </w:r>
      <w:r>
        <w:rPr>
          <w:i/>
        </w:rPr>
        <w:t>e</w:t>
      </w:r>
      <w:r>
        <w:rPr>
          <w:vertAlign w:val="subscript"/>
        </w:rPr>
        <w:t>0</w:t>
      </w:r>
      <w:r>
        <w:rPr>
          <w:i/>
          <w:vertAlign w:val="subscript"/>
        </w:rPr>
        <w:t>j</w:t>
      </w:r>
      <w:r>
        <w:rPr/>
        <w:t xml:space="preserve"> and </w:t>
      </w:r>
      <w:r>
        <w:rPr>
          <w:i/>
        </w:rPr>
        <w:t>e</w:t>
      </w:r>
      <w:r>
        <w:rPr>
          <w:i/>
          <w:vertAlign w:val="subscript"/>
        </w:rPr>
        <w:t>tj</w:t>
      </w:r>
      <w:r>
        <w:rPr/>
        <w:t xml:space="preserve"> are independent circular complex Gaussian errors with variances </w:t>
      </w:r>
      <w:r>
        <w:rPr>
          <w:i/>
        </w:rPr>
        <w:t>v</w:t>
      </w:r>
      <w:r>
        <w:rPr>
          <w:vertAlign w:val="subscript"/>
        </w:rPr>
        <w:t>0</w:t>
      </w:r>
      <w:r>
        <w:rPr/>
        <w:t xml:space="preserve"> = </w:t>
      </w:r>
      <w:r>
        <w:rPr>
          <w:i/>
        </w:rPr>
        <w:t>v</w:t>
      </w:r>
      <w:r>
        <w:rPr/>
        <w:t>/</w:t>
      </w:r>
      <w:r>
        <w:rPr>
          <w:i/>
        </w:rPr>
        <w:t>M</w:t>
      </w:r>
      <w:r>
        <w:rPr/>
        <w:t xml:space="preserve"> and </w:t>
      </w:r>
      <w:r>
        <w:rPr>
          <w:i/>
        </w:rPr>
        <w:t>v</w:t>
      </w:r>
      <w:r>
        <w:rPr/>
        <w:t xml:space="preserve">. The noise variance </w:t>
      </w:r>
      <w:r>
        <w:rPr>
          <w:i/>
        </w:rPr>
        <w:t>v</w:t>
      </w:r>
      <w:r>
        <w:rPr/>
        <w:t xml:space="preserve"> is known from the receiver calibration. With </w:t>
      </w:r>
      <w:r>
        <w:rPr>
          <w:i/>
        </w:rPr>
        <w:t>H</w:t>
      </w:r>
      <w:r>
        <w:rPr/>
        <w:t xml:space="preserve"> = Σ</w:t>
      </w:r>
      <w:r>
        <w:rPr>
          <w:i/>
          <w:vertAlign w:val="subscript"/>
        </w:rPr>
        <w:t>j</w:t>
      </w:r>
      <w:r>
        <w:rPr/>
        <w:t>|</w:t>
      </w:r>
      <w:r>
        <w:rPr>
          <w:i/>
        </w:rPr>
        <w:t>h</w:t>
      </w:r>
      <w:r>
        <w:rPr>
          <w:i/>
          <w:vertAlign w:val="subscript"/>
        </w:rPr>
        <w:t>j</w:t>
      </w:r>
      <w:r>
        <w:rPr/>
        <w:t>|</w:t>
      </w:r>
      <w:r>
        <w:rPr>
          <w:vertAlign w:val="superscript"/>
        </w:rPr>
        <w:t>2</w:t>
      </w:r>
      <w:r>
        <w:rPr/>
        <w:t xml:space="preserve">, the per-pilot reference and current SNRs are </w:t>
      </w:r>
      <w:r>
        <w:rPr>
          <w:i/>
        </w:rPr>
        <w:t>γ</w:t>
      </w:r>
      <w:r>
        <w:rPr>
          <w:vertAlign w:val="subscript"/>
        </w:rPr>
        <w:t>r</w:t>
      </w:r>
      <w:r>
        <w:rPr/>
        <w:t xml:space="preserve"> = </w:t>
      </w:r>
      <w:r>
        <w:rPr>
          <w:i/>
        </w:rPr>
        <w:t>H</w:t>
      </w:r>
      <w:r>
        <w:rPr/>
        <w:t>/(</w:t>
      </w:r>
      <w:r>
        <w:rPr>
          <w:i/>
        </w:rPr>
        <w:t>Jv</w:t>
      </w:r>
      <w:r>
        <w:rPr>
          <w:vertAlign w:val="subscript"/>
        </w:rPr>
        <w:t>0</w:t>
      </w:r>
      <w:r>
        <w:rPr/>
        <w:t>)</w:t>
      </w:r>
      <w:r>
        <w:rPr/>
        <w:t xml:space="preserve"> and </w:t>
      </w:r>
      <w:r>
        <w:rPr>
          <w:i/>
        </w:rPr>
        <w:t>γ</w:t>
      </w:r>
      <w:r>
        <w:rPr>
          <w:vertAlign w:val="subscript"/>
        </w:rPr>
        <w:t>t</w:t>
      </w:r>
      <w:r>
        <w:rPr/>
        <w:t xml:space="preserve"> = </w:t>
      </w:r>
      <w:r>
        <w:rPr>
          <w:i/>
        </w:rPr>
        <w:t>a</w:t>
      </w:r>
      <w:r>
        <w:rPr>
          <w:vertAlign w:val="superscript"/>
        </w:rPr>
        <w:t>2</w:t>
      </w:r>
      <w:r>
        <w:rPr>
          <w:i/>
        </w:rPr>
        <w:t>H</w:t>
      </w:r>
      <w:r>
        <w:rPr/>
        <w:t>/(</w:t>
      </w:r>
      <w:r>
        <w:rPr>
          <w:i/>
        </w:rPr>
        <w:t>Jv</w:t>
      </w:r>
      <w:r>
        <w:rPr/>
        <w:t>)</w:t>
      </w:r>
      <w:r>
        <w:rPr/>
        <w:t xml:space="preserve">; for unit mean pilot gain, </w:t>
      </w:r>
      <w:r>
        <w:rPr>
          <w:i/>
        </w:rPr>
        <w:t>γ</w:t>
      </w:r>
      <w:r>
        <w:rPr>
          <w:vertAlign w:val="subscript"/>
        </w:rPr>
        <w:t>r</w:t>
      </w:r>
      <w:r>
        <w:rPr/>
        <w:t xml:space="preserve"> = </w:t>
      </w:r>
      <w:r>
        <w:rPr>
          <w:i/>
        </w:rPr>
        <w:t>M</w:t>
      </w:r>
      <w:r>
        <w:rPr/>
        <w:t>·SNR</w:t>
      </w:r>
      <w:r>
        <w:rPr/>
        <w:t xml:space="preserve"> and </w:t>
      </w:r>
      <w:r>
        <w:rPr>
          <w:i/>
        </w:rPr>
        <w:t>γ</w:t>
      </w:r>
      <w:r>
        <w:rPr>
          <w:vertAlign w:val="subscript"/>
        </w:rPr>
        <w:t>t</w:t>
      </w:r>
      <w:r>
        <w:rPr/>
        <w:t xml:space="preserve"> = </w:t>
      </w:r>
      <w:r>
        <w:rPr>
          <w:i/>
        </w:rPr>
        <w:t>a</w:t>
      </w:r>
      <w:r>
        <w:rPr>
          <w:vertAlign w:val="superscript"/>
        </w:rPr>
        <w:t>2</w:t>
      </w:r>
      <w:r>
        <w:rPr/>
        <w:t xml:space="preserve"> SNR</w:t>
      </w:r>
      <w:r>
        <w:rPr/>
        <w:t>. Figure 1 shows the pilot structure and the reuse of the reference.</w:t>
      </w:r>
    </w:p>
    <w:p>
      <w:pPr>
        <w:keepNext/>
        <w:snapToGrid w:val="0"/>
        <w:spacing w:line="480" w:lineRule="auto"/>
        <w:jc w:val="center"/>
      </w:pPr>
      <w:r>
        <w:drawing>
          <wp:inline xmlns:a="http://schemas.openxmlformats.org/drawingml/2006/main" xmlns:pic="http://schemas.openxmlformats.org/drawingml/2006/picture">
            <wp:extent cx="5256000" cy="2538998"/>
            <wp:docPr id="3" name="Picture 3"/>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5256000" cy="2538998"/>
                    </a:xfrm>
                    <a:prstGeom prst="rect"/>
                  </pic:spPr>
                </pic:pic>
              </a:graphicData>
            </a:graphic>
          </wp:inline>
        </w:drawing>
      </w:r>
    </w:p>
    <w:p>
      <w:pPr>
        <w:keepNext w:val="0"/>
        <w:keepLines/>
        <w:spacing w:line="480" w:lineRule="auto"/>
        <w:jc w:val="center"/>
      </w:pPr>
      <w:r>
        <w:rPr/>
        <w:t xml:space="preserve">Figure 1. </w:t>
      </w:r>
      <w:r>
        <w:rPr/>
        <w:t xml:space="preserve">Pilot structure and reference reuse: (a) DM-RS type 1 on symbols 2 and 11 (two of 12 RB shown); (b) one reference from </w:t>
      </w:r>
      <w:r>
        <w:rPr>
          <w:i/>
        </w:rPr>
        <w:t>M</w:t>
      </w:r>
      <w:r>
        <w:rPr/>
        <w:t xml:space="preserve"> clear-sky slots serves </w:t>
      </w:r>
      <w:r>
        <w:rPr>
          <w:i/>
        </w:rPr>
        <w:t>n</w:t>
      </w:r>
      <w:r>
        <w:rPr/>
        <w:t xml:space="preserve"> rain observations.</w:t>
      </w:r>
    </w:p>
    <w:p>
      <w:pPr>
        <w:pStyle w:val="2"/>
        <w:spacing w:line="480" w:lineRule="auto"/>
      </w:pPr>
      <w:r>
        <w:rPr/>
        <w:t>2.2 Profile amplitude estimator</w:t>
      </w:r>
    </w:p>
    <w:p>
      <w:pPr>
        <w:spacing w:line="480" w:lineRule="auto"/>
        <w:ind w:firstLine="420"/>
        <w:jc w:val="both"/>
      </w:pPr>
      <w:r>
        <w:rPr/>
        <w:t xml:space="preserve">Treating the channel as a nuisance parameter and maximising the joint likelihood of Equation (2) over </w:t>
      </w:r>
      <w:r>
        <w:rPr>
          <w:i/>
        </w:rPr>
        <w:t>h</w:t>
      </w:r>
      <w:r>
        <w:rPr>
          <w:i/>
          <w:vertAlign w:val="subscript"/>
        </w:rPr>
        <w:t>j</w:t>
      </w:r>
      <w:r>
        <w:rPr/>
        <w:t xml:space="preserve"> and </w:t>
      </w:r>
      <w:r>
        <w:rPr>
          <w:i/>
        </w:rPr>
        <w:t>φ</w:t>
      </w:r>
      <w:r>
        <w:rPr>
          <w:i/>
          <w:vertAlign w:val="subscript"/>
        </w:rPr>
        <w:t>t</w:t>
      </w:r>
      <w:r>
        <w:rPr/>
        <w:t xml:space="preserve"> gives the profile amplitude estimator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4121531" cy="420533"/>
                  <wp:docPr id="4" name="Picture 4"/>
                  <wp:cNvGraphicFramePr>
                    <a:graphicFrameLocks noChangeAspect="1"/>
                  </wp:cNvGraphicFramePr>
                  <a:graphic>
                    <a:graphicData uri="http://schemas.openxmlformats.org/drawingml/2006/picture">
                      <pic:pic>
                        <pic:nvPicPr>
                          <pic:cNvPr id="0" name="eq03.png"/>
                          <pic:cNvPicPr/>
                        </pic:nvPicPr>
                        <pic:blipFill>
                          <a:blip r:embed="rId10"/>
                          <a:stretch>
                            <a:fillRect/>
                          </a:stretch>
                        </pic:blipFill>
                        <pic:spPr>
                          <a:xfrm>
                            <a:off x="0" y="0"/>
                            <a:ext cx="4121531" cy="420533"/>
                          </a:xfrm>
                          <a:prstGeom prst="rect"/>
                        </pic:spPr>
                      </pic:pic>
                    </a:graphicData>
                  </a:graphic>
                </wp:inline>
              </w:drawing>
            </w:r>
          </w:p>
        </w:tc>
        <w:tc>
          <w:tcPr>
            <w:tcW w:type="dxa" w:w="646"/>
            <w:vAlign w:val="center"/>
          </w:tcPr>
          <w:p>
            <w:pPr>
              <w:snapToGrid w:val="0"/>
              <w:spacing w:line="240" w:lineRule="auto" w:before="120" w:after="120"/>
              <w:jc w:val="center"/>
            </w:pPr>
            <w:r>
              <w:t>(3)</w:t>
            </w:r>
          </w:p>
        </w:tc>
      </w:tr>
    </w:tbl>
    <w:p>
      <w:pPr>
        <w:spacing w:line="480" w:lineRule="auto"/>
        <w:ind w:firstLine="420"/>
        <w:jc w:val="both"/>
      </w:pPr>
      <w:r>
        <w:rPr/>
        <w:t xml:space="preserve">With </w:t>
      </w:r>
      <w:r>
        <w:rPr>
          <w:i/>
        </w:rPr>
        <w:t>P</w:t>
      </w:r>
      <w:r>
        <w:rPr>
          <w:vertAlign w:val="subscript"/>
        </w:rPr>
        <w:t>0</w:t>
      </w:r>
      <w:r>
        <w:rPr/>
        <w:t xml:space="preserve"> = Σ</w:t>
      </w:r>
      <w:r>
        <w:rPr>
          <w:i/>
          <w:vertAlign w:val="subscript"/>
        </w:rPr>
        <w:t>j</w:t>
      </w:r>
      <w:r>
        <w:rPr/>
        <w:t>|</w:t>
      </w:r>
      <w:r>
        <w:rPr>
          <w:i/>
        </w:rPr>
        <w:t>r</w:t>
      </w:r>
      <w:r>
        <w:rPr>
          <w:i/>
          <w:vertAlign w:val="subscript"/>
        </w:rPr>
        <w:t>j</w:t>
      </w:r>
      <w:r>
        <w:rPr/>
        <w:t>|</w:t>
      </w:r>
      <w:r>
        <w:rPr>
          <w:vertAlign w:val="superscript"/>
        </w:rPr>
        <w:t>2</w:t>
      </w:r>
      <w:r>
        <w:rPr/>
        <w:t xml:space="preserve">, </w:t>
      </w:r>
      <w:r>
        <w:rPr>
          <w:i/>
        </w:rPr>
        <w:t>P</w:t>
      </w:r>
      <w:r>
        <w:rPr>
          <w:i/>
          <w:vertAlign w:val="subscript"/>
        </w:rPr>
        <w:t>t</w:t>
      </w:r>
      <w:r>
        <w:rPr/>
        <w:t xml:space="preserve"> = Σ</w:t>
      </w:r>
      <w:r>
        <w:rPr>
          <w:i/>
          <w:vertAlign w:val="subscript"/>
        </w:rPr>
        <w:t>j</w:t>
      </w:r>
      <w:r>
        <w:rPr/>
        <w:t>|</w:t>
      </w:r>
      <w:r>
        <w:rPr>
          <w:i/>
        </w:rPr>
        <w:t>z</w:t>
      </w:r>
      <w:r>
        <w:rPr>
          <w:i/>
          <w:vertAlign w:val="subscript"/>
        </w:rPr>
        <w:t>tj</w:t>
      </w:r>
      <w:r>
        <w:rPr/>
        <w:t>|</w:t>
      </w:r>
      <w:r>
        <w:rPr>
          <w:vertAlign w:val="superscript"/>
        </w:rPr>
        <w:t>2</w:t>
      </w:r>
      <w:r>
        <w:rPr/>
        <w:t xml:space="preserve"> and </w:t>
      </w:r>
      <w:r>
        <w:rPr>
          <w:i/>
        </w:rPr>
        <w:t>C</w:t>
      </w:r>
      <w:r>
        <w:rPr>
          <w:i/>
          <w:vertAlign w:val="subscript"/>
        </w:rPr>
        <w:t>t</w:t>
      </w:r>
      <w:r>
        <w:rPr/>
        <w:t xml:space="preserve"> = |Σ</w:t>
      </w:r>
      <w:r>
        <w:rPr>
          <w:i/>
          <w:vertAlign w:val="subscript"/>
        </w:rPr>
        <w:t>j</w:t>
      </w:r>
      <w:r>
        <w:rPr>
          <w:i/>
        </w:rPr>
        <w:t>r</w:t>
      </w:r>
      <w:r>
        <w:rPr>
          <w:i/>
          <w:vertAlign w:val="subscript"/>
        </w:rPr>
        <w:t>j</w:t>
      </w:r>
      <w:r>
        <w:rPr>
          <w:vertAlign w:val="superscript"/>
        </w:rPr>
        <w:t>*</w:t>
      </w:r>
      <w:r>
        <w:rPr>
          <w:i/>
        </w:rPr>
        <w:t>z</w:t>
      </w:r>
      <w:r>
        <w:rPr>
          <w:i/>
          <w:vertAlign w:val="subscript"/>
        </w:rPr>
        <w:t>tj</w:t>
      </w:r>
      <w:r>
        <w:rPr/>
        <w:t>|</w:t>
      </w:r>
      <w:r>
        <w:rPr/>
        <w:t>, the stationary point satisfies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1933701" cy="178284"/>
                  <wp:docPr id="5" name="Picture 5"/>
                  <wp:cNvGraphicFramePr>
                    <a:graphicFrameLocks noChangeAspect="1"/>
                  </wp:cNvGraphicFramePr>
                  <a:graphic>
                    <a:graphicData uri="http://schemas.openxmlformats.org/drawingml/2006/picture">
                      <pic:pic>
                        <pic:nvPicPr>
                          <pic:cNvPr id="0" name="eq04.png"/>
                          <pic:cNvPicPr/>
                        </pic:nvPicPr>
                        <pic:blipFill>
                          <a:blip r:embed="rId11"/>
                          <a:stretch>
                            <a:fillRect/>
                          </a:stretch>
                        </pic:blipFill>
                        <pic:spPr>
                          <a:xfrm>
                            <a:off x="0" y="0"/>
                            <a:ext cx="1933701" cy="178284"/>
                          </a:xfrm>
                          <a:prstGeom prst="rect"/>
                        </pic:spPr>
                      </pic:pic>
                    </a:graphicData>
                  </a:graphic>
                </wp:inline>
              </w:drawing>
            </w:r>
          </w:p>
        </w:tc>
        <w:tc>
          <w:tcPr>
            <w:tcW w:type="dxa" w:w="646"/>
            <w:vAlign w:val="center"/>
          </w:tcPr>
          <w:p>
            <w:pPr>
              <w:snapToGrid w:val="0"/>
              <w:spacing w:line="240" w:lineRule="auto" w:before="120" w:after="120"/>
              <w:jc w:val="center"/>
            </w:pPr>
            <w:r>
              <w:t>(4)</w:t>
            </w:r>
          </w:p>
        </w:tc>
      </w:tr>
    </w:tbl>
    <w:p>
      <w:pPr>
        <w:spacing w:line="480" w:lineRule="auto"/>
        <w:jc w:val="both"/>
      </w:pPr>
      <w:r>
        <w:rPr/>
        <w:t xml:space="preserve">whose unique positive root is the estimate, so no numerical search is required. The quantity of interest is the mean of </w:t>
      </w:r>
      <w:r>
        <w:rPr>
          <w:i/>
        </w:rPr>
        <w:t>n</w:t>
      </w:r>
      <w:r>
        <w:rPr/>
        <w:t xml:space="preserve"> estimates, </w:t>
      </w:r>
      <w:r>
        <w:rPr>
          <w:i/>
        </w:rPr>
        <w:t>Ā</w:t>
      </w:r>
      <w:r>
        <w:rPr>
          <w:i/>
          <w:vertAlign w:val="subscript"/>
        </w:rPr>
        <w:t>n</w:t>
      </w:r>
      <w:r>
        <w:rPr/>
        <w:t xml:space="preserve"> = </w:t>
      </w:r>
      <w:r>
        <w:rPr>
          <w:i/>
        </w:rPr>
        <w:t>n</w:t>
      </w:r>
      <w:r>
        <w:rPr>
          <w:vertAlign w:val="superscript"/>
        </w:rPr>
        <w:t>−1</w:t>
      </w:r>
      <w:r>
        <w:rPr/>
        <w:t>Σ</w:t>
      </w:r>
      <w:r>
        <w:rPr>
          <w:i/>
          <w:vertAlign w:val="subscript"/>
        </w:rPr>
        <w:t>t</w:t>
      </w:r>
      <w:r>
        <w:rPr>
          <w:vertAlign w:val="subscript"/>
        </w:rPr>
        <w:t>=1</w:t>
      </w:r>
      <w:r>
        <w:rPr>
          <w:i/>
          <w:vertAlign w:val="superscript"/>
        </w:rPr>
        <w:t>n</w:t>
      </w:r>
      <w:r>
        <w:rPr>
          <w:i/>
        </w:rPr>
        <w:t>Â</w:t>
      </w:r>
      <w:r>
        <w:rPr>
          <w:i/>
          <w:vertAlign w:val="subscript"/>
        </w:rPr>
        <w:t>t</w:t>
      </w:r>
      <w:r>
        <w:rPr/>
        <w:t>, all computed with the same reference.</w:t>
      </w:r>
    </w:p>
    <w:p>
      <w:pPr>
        <w:pStyle w:val="2"/>
        <w:spacing w:line="480" w:lineRule="auto"/>
      </w:pPr>
      <w:r>
        <w:rPr/>
        <w:t>2.3 Information bound with a shared reference</w:t>
      </w:r>
    </w:p>
    <w:p>
      <w:pPr>
        <w:spacing w:line="480" w:lineRule="auto"/>
        <w:ind w:firstLine="420"/>
        <w:jc w:val="both"/>
      </w:pPr>
      <w:r>
        <w:rPr/>
        <w:t xml:space="preserve">Consider </w:t>
      </w:r>
      <w:r>
        <w:rPr>
          <w:i/>
        </w:rPr>
        <w:t>n</w:t>
      </w:r>
      <w:r>
        <w:rPr/>
        <w:t xml:space="preserve"> observations with a common amplitude </w:t>
      </w:r>
      <w:r>
        <w:rPr>
          <w:i/>
        </w:rPr>
        <w:t>a</w:t>
      </w:r>
      <w:r>
        <w:rPr/>
        <w:t xml:space="preserve">. The Fisher information of Equation (2) with respect to </w:t>
      </w:r>
      <w:r>
        <w:rPr>
          <w:i/>
        </w:rPr>
        <w:t>a</w:t>
      </w:r>
      <w:r>
        <w:rPr/>
        <w:t xml:space="preserve">, the phases </w:t>
      </w:r>
      <w:r>
        <w:rPr>
          <w:i/>
        </w:rPr>
        <w:t>φ</w:t>
      </w:r>
      <w:r>
        <w:rPr>
          <w:i/>
          <w:vertAlign w:val="subscript"/>
        </w:rPr>
        <w:t>t</w:t>
      </w:r>
      <w:r>
        <w:rPr/>
        <w:t xml:space="preserve"> and the real and imaginary parts of </w:t>
      </w:r>
      <w:r>
        <w:rPr>
          <w:i/>
        </w:rPr>
        <w:t>h</w:t>
      </w:r>
      <w:r>
        <w:rPr>
          <w:i/>
          <w:vertAlign w:val="subscript"/>
        </w:rPr>
        <w:t>j</w:t>
      </w:r>
      <w:r>
        <w:rPr/>
        <w:t xml:space="preserve"> has no cross term between </w:t>
      </w:r>
      <w:r>
        <w:rPr>
          <w:i/>
        </w:rPr>
        <w:t>a</w:t>
      </w:r>
      <w:r>
        <w:rPr/>
        <w:t xml:space="preserve"> and </w:t>
      </w:r>
      <w:r>
        <w:rPr>
          <w:i/>
        </w:rPr>
        <w:t>φ</w:t>
      </w:r>
      <w:r>
        <w:rPr>
          <w:i/>
          <w:vertAlign w:val="subscript"/>
        </w:rPr>
        <w:t>t</w:t>
      </w:r>
      <w:r>
        <w:rPr/>
        <w:t>. Taking the Schur complement with respect to the channel gives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1209675" cy="420492"/>
                  <wp:docPr id="6" name="Picture 6"/>
                  <wp:cNvGraphicFramePr>
                    <a:graphicFrameLocks noChangeAspect="1"/>
                  </wp:cNvGraphicFramePr>
                  <a:graphic>
                    <a:graphicData uri="http://schemas.openxmlformats.org/drawingml/2006/picture">
                      <pic:pic>
                        <pic:nvPicPr>
                          <pic:cNvPr id="0" name="eq05.png"/>
                          <pic:cNvPicPr/>
                        </pic:nvPicPr>
                        <pic:blipFill>
                          <a:blip r:embed="rId12"/>
                          <a:stretch>
                            <a:fillRect/>
                          </a:stretch>
                        </pic:blipFill>
                        <pic:spPr>
                          <a:xfrm>
                            <a:off x="0" y="0"/>
                            <a:ext cx="1209675" cy="420492"/>
                          </a:xfrm>
                          <a:prstGeom prst="rect"/>
                        </pic:spPr>
                      </pic:pic>
                    </a:graphicData>
                  </a:graphic>
                </wp:inline>
              </w:drawing>
            </w:r>
          </w:p>
        </w:tc>
        <w:tc>
          <w:tcPr>
            <w:tcW w:type="dxa" w:w="646"/>
            <w:vAlign w:val="center"/>
          </w:tcPr>
          <w:p>
            <w:pPr>
              <w:snapToGrid w:val="0"/>
              <w:spacing w:line="240" w:lineRule="auto" w:before="120" w:after="120"/>
              <w:jc w:val="center"/>
            </w:pPr>
            <w:r>
              <w:t>(5)</w:t>
            </w:r>
          </w:p>
        </w:tc>
      </w:tr>
    </w:tbl>
    <w:p>
      <w:pPr>
        <w:spacing w:line="480" w:lineRule="auto"/>
        <w:jc w:val="both"/>
      </w:pPr>
      <w:r>
        <w:rPr/>
        <w:t xml:space="preserve">and, with </w:t>
      </w:r>
      <w:r>
        <w:rPr>
          <w:i/>
        </w:rPr>
        <w:t>K</w:t>
      </w:r>
      <w:r>
        <w:rPr/>
        <w:t xml:space="preserve"> = 20/ln 10</w:t>
      </w:r>
      <w:r>
        <w:rPr/>
        <w:t xml:space="preserve"> and </w:t>
      </w:r>
      <w:r>
        <w:rPr/>
        <w:t>Var(</w:t>
      </w:r>
      <w:r>
        <w:rPr>
          <w:i/>
        </w:rPr>
        <w:t>Â</w:t>
      </w:r>
      <w:r>
        <w:rPr/>
        <w:t xml:space="preserve">) ≥ </w:t>
      </w:r>
      <w:r>
        <w:rPr>
          <w:i/>
        </w:rPr>
        <w:t>K</w:t>
      </w:r>
      <w:r>
        <w:rPr>
          <w:vertAlign w:val="superscript"/>
        </w:rPr>
        <w:t>2</w:t>
      </w:r>
      <w:r>
        <w:rPr/>
        <w:t>/[</w:t>
      </w:r>
      <w:r>
        <w:rPr>
          <w:i/>
        </w:rPr>
        <w:t>a</w:t>
      </w:r>
      <w:r>
        <w:rPr>
          <w:vertAlign w:val="superscript"/>
        </w:rPr>
        <w:t>2</w:t>
      </w:r>
      <w:r>
        <w:rPr>
          <w:i/>
        </w:rPr>
        <w:t>I</w:t>
      </w:r>
      <w:r>
        <w:rPr>
          <w:i/>
          <w:vertAlign w:val="subscript"/>
        </w:rPr>
        <w:t>n</w:t>
      </w:r>
      <w:r>
        <w:rPr/>
        <w:t>(</w:t>
      </w:r>
      <w:r>
        <w:rPr>
          <w:i/>
        </w:rPr>
        <w:t>a</w:t>
      </w:r>
      <w:r>
        <w:rPr/>
        <w:t>)]</w:t>
      </w:r>
      <w:r>
        <w:rPr/>
        <w:t>, the bound for any unbiased estimate of the averaged attenuation is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1909952" cy="341172"/>
                  <wp:docPr id="7" name="Picture 7"/>
                  <wp:cNvGraphicFramePr>
                    <a:graphicFrameLocks noChangeAspect="1"/>
                  </wp:cNvGraphicFramePr>
                  <a:graphic>
                    <a:graphicData uri="http://schemas.openxmlformats.org/drawingml/2006/picture">
                      <pic:pic>
                        <pic:nvPicPr>
                          <pic:cNvPr id="0" name="eq06.png"/>
                          <pic:cNvPicPr/>
                        </pic:nvPicPr>
                        <pic:blipFill>
                          <a:blip r:embed="rId13"/>
                          <a:stretch>
                            <a:fillRect/>
                          </a:stretch>
                        </pic:blipFill>
                        <pic:spPr>
                          <a:xfrm>
                            <a:off x="0" y="0"/>
                            <a:ext cx="1909952" cy="341172"/>
                          </a:xfrm>
                          <a:prstGeom prst="rect"/>
                        </pic:spPr>
                      </pic:pic>
                    </a:graphicData>
                  </a:graphic>
                </wp:inline>
              </w:drawing>
            </w:r>
          </w:p>
        </w:tc>
        <w:tc>
          <w:tcPr>
            <w:tcW w:type="dxa" w:w="646"/>
            <w:vAlign w:val="center"/>
          </w:tcPr>
          <w:p>
            <w:pPr>
              <w:snapToGrid w:val="0"/>
              <w:spacing w:line="240" w:lineRule="auto" w:before="120" w:after="120"/>
              <w:jc w:val="center"/>
            </w:pPr>
            <w:r>
              <w:t>(6)</w:t>
            </w:r>
          </w:p>
        </w:tc>
      </w:tr>
    </w:tbl>
    <w:p>
      <w:pPr>
        <w:spacing w:line="480" w:lineRule="auto"/>
        <w:ind w:firstLine="420"/>
        <w:jc w:val="both"/>
      </w:pPr>
      <w:r>
        <w:rPr/>
        <w:t xml:space="preserve">The first term is a shared floor that no amount of averaging removes; the second decreases as </w:t>
      </w:r>
      <w:r>
        <w:rPr/>
        <w:t>1/</w:t>
      </w:r>
      <w:r>
        <w:rPr>
          <w:i/>
        </w:rPr>
        <w:t>n</w:t>
      </w:r>
      <w:r>
        <w:rPr/>
        <w:t>. The shared fraction of the bound is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1496695" cy="341058"/>
                  <wp:docPr id="8" name="Picture 8"/>
                  <wp:cNvGraphicFramePr>
                    <a:graphicFrameLocks noChangeAspect="1"/>
                  </wp:cNvGraphicFramePr>
                  <a:graphic>
                    <a:graphicData uri="http://schemas.openxmlformats.org/drawingml/2006/picture">
                      <pic:pic>
                        <pic:nvPicPr>
                          <pic:cNvPr id="0" name="eq07.png"/>
                          <pic:cNvPicPr/>
                        </pic:nvPicPr>
                        <pic:blipFill>
                          <a:blip r:embed="rId14"/>
                          <a:stretch>
                            <a:fillRect/>
                          </a:stretch>
                        </pic:blipFill>
                        <pic:spPr>
                          <a:xfrm>
                            <a:off x="0" y="0"/>
                            <a:ext cx="1496695" cy="341058"/>
                          </a:xfrm>
                          <a:prstGeom prst="rect"/>
                        </pic:spPr>
                      </pic:pic>
                    </a:graphicData>
                  </a:graphic>
                </wp:inline>
              </w:drawing>
            </w:r>
          </w:p>
        </w:tc>
        <w:tc>
          <w:tcPr>
            <w:tcW w:type="dxa" w:w="646"/>
            <w:vAlign w:val="center"/>
          </w:tcPr>
          <w:p>
            <w:pPr>
              <w:snapToGrid w:val="0"/>
              <w:spacing w:line="240" w:lineRule="auto" w:before="120" w:after="120"/>
              <w:jc w:val="center"/>
            </w:pPr>
            <w:r>
              <w:t>(7)</w:t>
            </w:r>
          </w:p>
        </w:tc>
      </w:tr>
    </w:tbl>
    <w:p>
      <w:pPr>
        <w:spacing w:line="480" w:lineRule="auto"/>
        <w:jc w:val="both"/>
      </w:pPr>
      <w:r>
        <w:rPr/>
        <w:t xml:space="preserve">where the second form holds for unit mean pilot gain and does not depend on the SNR. The shared reference therefore dominates once </w:t>
      </w:r>
      <w:r>
        <w:rPr>
          <w:i/>
        </w:rPr>
        <w:t>n</w:t>
      </w:r>
      <w:r>
        <w:rPr/>
        <w:t xml:space="preserve"> &gt; </w:t>
      </w:r>
      <w:r>
        <w:rPr>
          <w:i/>
        </w:rPr>
        <w:t>M</w:t>
      </w:r>
      <w:r>
        <w:rPr/>
        <w:t>/</w:t>
      </w:r>
      <w:r>
        <w:rPr>
          <w:i/>
        </w:rPr>
        <w:t>a</w:t>
      </w:r>
      <w:r>
        <w:rPr>
          <w:vertAlign w:val="superscript"/>
        </w:rPr>
        <w:t>2</w:t>
      </w:r>
      <w:r>
        <w:rPr/>
        <w:t>: lengthening the reference and averaging more observations act on different components of the uncertainty.</w:t>
      </w:r>
    </w:p>
    <w:p>
      <w:pPr>
        <w:pStyle w:val="2"/>
        <w:spacing w:line="480" w:lineRule="auto"/>
      </w:pPr>
      <w:r>
        <w:rPr/>
        <w:t>2.4 Variance propagation</w:t>
      </w:r>
    </w:p>
    <w:p>
      <w:pPr>
        <w:spacing w:line="480" w:lineRule="auto"/>
        <w:ind w:firstLine="420"/>
        <w:jc w:val="both"/>
      </w:pPr>
      <w:r>
        <w:rPr>
          <w:b/>
        </w:rPr>
        <w:t>Fixed-weight linearisation.</w:t>
      </w:r>
      <w:r>
        <w:rPr/>
        <w:t xml:space="preserve"> The conventional local propagation linearises Equation (3) with the weights and phase fixed at the estimate. For white noise it gives a per-observation variance and a covariance shared by all observations,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3397250" cy="382381"/>
                  <wp:docPr id="9" name="Picture 9"/>
                  <wp:cNvGraphicFramePr>
                    <a:graphicFrameLocks noChangeAspect="1"/>
                  </wp:cNvGraphicFramePr>
                  <a:graphic>
                    <a:graphicData uri="http://schemas.openxmlformats.org/drawingml/2006/picture">
                      <pic:pic>
                        <pic:nvPicPr>
                          <pic:cNvPr id="0" name="eq08.png"/>
                          <pic:cNvPicPr/>
                        </pic:nvPicPr>
                        <pic:blipFill>
                          <a:blip r:embed="rId15"/>
                          <a:stretch>
                            <a:fillRect/>
                          </a:stretch>
                        </pic:blipFill>
                        <pic:spPr>
                          <a:xfrm>
                            <a:off x="0" y="0"/>
                            <a:ext cx="3397250" cy="382381"/>
                          </a:xfrm>
                          <a:prstGeom prst="rect"/>
                        </pic:spPr>
                      </pic:pic>
                    </a:graphicData>
                  </a:graphic>
                </wp:inline>
              </w:drawing>
            </w:r>
          </w:p>
        </w:tc>
        <w:tc>
          <w:tcPr>
            <w:tcW w:type="dxa" w:w="646"/>
            <w:vAlign w:val="center"/>
          </w:tcPr>
          <w:p>
            <w:pPr>
              <w:snapToGrid w:val="0"/>
              <w:spacing w:line="240" w:lineRule="auto" w:before="120" w:after="120"/>
              <w:jc w:val="center"/>
            </w:pPr>
            <w:r>
              <w:t>(8)</w:t>
            </w:r>
          </w:p>
        </w:tc>
      </w:tr>
    </w:tbl>
    <w:p>
      <w:pPr>
        <w:spacing w:line="480" w:lineRule="auto"/>
        <w:ind w:firstLine="420"/>
        <w:jc w:val="both"/>
      </w:pPr>
      <w:r>
        <w:rPr/>
        <w:t xml:space="preserve">Because the plug-in reference energy has expectation </w:t>
      </w:r>
      <w:r>
        <w:rPr/>
        <w:t>E</w:t>
      </w:r>
      <w:r>
        <w:rPr>
          <w:i/>
        </w:rPr>
        <w:t>P</w:t>
      </w:r>
      <w:r>
        <w:rPr>
          <w:vertAlign w:val="subscript"/>
        </w:rPr>
        <w:t>0</w:t>
      </w:r>
      <w:r>
        <w:rPr/>
        <w:t xml:space="preserve"> = </w:t>
      </w:r>
      <w:r>
        <w:rPr>
          <w:i/>
        </w:rPr>
        <w:t>H</w:t>
      </w:r>
      <w:r>
        <w:rPr/>
        <w:t xml:space="preserve"> + </w:t>
      </w:r>
      <w:r>
        <w:rPr>
          <w:i/>
        </w:rPr>
        <w:t>Jv</w:t>
      </w:r>
      <w:r>
        <w:rPr>
          <w:vertAlign w:val="subscript"/>
        </w:rPr>
        <w:t>0</w:t>
      </w:r>
      <w:r>
        <w:rPr/>
        <w:t xml:space="preserve"> = </w:t>
      </w:r>
      <w:r>
        <w:rPr>
          <w:i/>
        </w:rPr>
        <w:t>H</w:t>
      </w:r>
      <w:r>
        <w:rPr/>
        <w:t>(1 + 1/</w:t>
      </w:r>
      <w:r>
        <w:rPr>
          <w:i/>
        </w:rPr>
        <w:t>γ</w:t>
      </w:r>
      <w:r>
        <w:rPr>
          <w:vertAlign w:val="subscript"/>
        </w:rPr>
        <w:t>r</w:t>
      </w:r>
      <w:r>
        <w:rPr/>
        <w:t>)</w:t>
      </w:r>
      <w:r>
        <w:rPr/>
        <w:t>, both terms are smaller than the corresponding terms of Equation (6):</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1482090" cy="321399"/>
                  <wp:docPr id="10" name="Picture 10"/>
                  <wp:cNvGraphicFramePr>
                    <a:graphicFrameLocks noChangeAspect="1"/>
                  </wp:cNvGraphicFramePr>
                  <a:graphic>
                    <a:graphicData uri="http://schemas.openxmlformats.org/drawingml/2006/picture">
                      <pic:pic>
                        <pic:nvPicPr>
                          <pic:cNvPr id="0" name="eq09.png"/>
                          <pic:cNvPicPr/>
                        </pic:nvPicPr>
                        <pic:blipFill>
                          <a:blip r:embed="rId16"/>
                          <a:stretch>
                            <a:fillRect/>
                          </a:stretch>
                        </pic:blipFill>
                        <pic:spPr>
                          <a:xfrm>
                            <a:off x="0" y="0"/>
                            <a:ext cx="1482090" cy="321399"/>
                          </a:xfrm>
                          <a:prstGeom prst="rect"/>
                        </pic:spPr>
                      </pic:pic>
                    </a:graphicData>
                  </a:graphic>
                </wp:inline>
              </w:drawing>
            </w:r>
          </w:p>
        </w:tc>
        <w:tc>
          <w:tcPr>
            <w:tcW w:type="dxa" w:w="646"/>
            <w:vAlign w:val="center"/>
          </w:tcPr>
          <w:p>
            <w:pPr>
              <w:snapToGrid w:val="0"/>
              <w:spacing w:line="240" w:lineRule="auto" w:before="120" w:after="120"/>
              <w:jc w:val="center"/>
            </w:pPr>
            <w:r>
              <w:t>(9)</w:t>
            </w:r>
          </w:p>
        </w:tc>
      </w:tr>
    </w:tbl>
    <w:p>
      <w:pPr>
        <w:spacing w:line="480" w:lineRule="auto"/>
        <w:ind w:firstLine="420"/>
        <w:jc w:val="both"/>
      </w:pPr>
      <w:r>
        <w:rPr/>
        <w:t xml:space="preserve">The fixed-weight linearisation therefore predicts a variance below what any unbiased estimator can attain, and intervals built on it are too narrow whenever </w:t>
      </w:r>
      <w:r>
        <w:rPr>
          <w:i/>
        </w:rPr>
        <w:t>γ</w:t>
      </w:r>
      <w:r>
        <w:rPr>
          <w:vertAlign w:val="subscript"/>
        </w:rPr>
        <w:t>r</w:t>
      </w:r>
      <w:r>
        <w:rPr/>
        <w:t xml:space="preserve"> is small.</w:t>
      </w:r>
    </w:p>
    <w:p>
      <w:pPr>
        <w:spacing w:line="480" w:lineRule="auto"/>
        <w:ind w:firstLine="420"/>
        <w:jc w:val="both"/>
      </w:pPr>
      <w:r>
        <w:rPr>
          <w:b/>
        </w:rPr>
        <w:t>Complete propagation.</w:t>
      </w:r>
      <w:r>
        <w:rPr/>
        <w:t xml:space="preserve"> The estimate is the root of Equation (4), a smooth function of the statistics </w:t>
      </w:r>
      <w:r>
        <w:rPr>
          <w:i/>
        </w:rPr>
        <w:t>P</w:t>
      </w:r>
      <w:r>
        <w:rPr>
          <w:vertAlign w:val="subscript"/>
        </w:rPr>
        <w:t>0</w:t>
      </w:r>
      <w:r>
        <w:rPr/>
        <w:t xml:space="preserve">, </w:t>
      </w:r>
      <w:r>
        <w:rPr>
          <w:i/>
        </w:rPr>
        <w:t>P</w:t>
      </w:r>
      <w:r>
        <w:rPr>
          <w:i/>
          <w:vertAlign w:val="subscript"/>
        </w:rPr>
        <w:t>t</w:t>
      </w:r>
      <w:r>
        <w:rPr/>
        <w:t xml:space="preserve"> and </w:t>
      </w:r>
      <w:r>
        <w:rPr>
          <w:i/>
        </w:rPr>
        <w:t>C</w:t>
      </w:r>
      <w:r>
        <w:rPr>
          <w:i/>
          <w:vertAlign w:val="subscript"/>
        </w:rPr>
        <w:t>t</w:t>
      </w:r>
      <w:r>
        <w:rPr/>
        <w:t xml:space="preserve">. Write </w:t>
      </w:r>
      <w:r>
        <w:rPr>
          <w:i/>
        </w:rPr>
        <w:t>X</w:t>
      </w:r>
      <w:r>
        <w:rPr/>
        <w:t xml:space="preserve"> = ReΣ</w:t>
      </w:r>
      <w:r>
        <w:rPr>
          <w:i/>
          <w:vertAlign w:val="subscript"/>
        </w:rPr>
        <w:t>j</w:t>
      </w:r>
      <w:r>
        <w:rPr>
          <w:i/>
        </w:rPr>
        <w:t>h</w:t>
      </w:r>
      <w:r>
        <w:rPr>
          <w:i/>
          <w:vertAlign w:val="subscript"/>
        </w:rPr>
        <w:t>j</w:t>
      </w:r>
      <w:r>
        <w:rPr>
          <w:vertAlign w:val="superscript"/>
        </w:rPr>
        <w:t>*</w:t>
      </w:r>
      <w:r>
        <w:rPr>
          <w:i/>
        </w:rPr>
        <w:t>e</w:t>
      </w:r>
      <w:r>
        <w:rPr>
          <w:vertAlign w:val="subscript"/>
        </w:rPr>
        <w:t>0</w:t>
      </w:r>
      <w:r>
        <w:rPr>
          <w:i/>
          <w:vertAlign w:val="subscript"/>
        </w:rPr>
        <w:t>j</w:t>
      </w:r>
      <w:r>
        <w:rPr/>
        <w:t xml:space="preserve">, </w:t>
      </w:r>
      <w:r>
        <w:rPr>
          <w:i/>
        </w:rPr>
        <w:t>Y</w:t>
      </w:r>
      <w:r>
        <w:rPr>
          <w:i/>
          <w:vertAlign w:val="subscript"/>
        </w:rPr>
        <w:t>t</w:t>
      </w:r>
      <w:r>
        <w:rPr/>
        <w:t xml:space="preserve"> = ReΣ</w:t>
      </w:r>
      <w:r>
        <w:rPr>
          <w:i/>
          <w:vertAlign w:val="subscript"/>
        </w:rPr>
        <w:t>j</w:t>
      </w:r>
      <w:r>
        <w:rPr>
          <w:i/>
        </w:rPr>
        <w:t>h</w:t>
      </w:r>
      <w:r>
        <w:rPr>
          <w:i/>
          <w:vertAlign w:val="subscript"/>
        </w:rPr>
        <w:t>j</w:t>
      </w:r>
      <w:r>
        <w:rPr>
          <w:vertAlign w:val="superscript"/>
        </w:rPr>
        <w:t>*</w:t>
      </w:r>
      <w:r>
        <w:rPr>
          <w:i/>
        </w:rPr>
        <w:t>e</w:t>
      </w:r>
      <w:r>
        <w:rPr>
          <w:i/>
          <w:vertAlign w:val="subscript"/>
        </w:rPr>
        <w:t>tj</w:t>
      </w:r>
      <w:r>
        <w:rPr/>
        <w:t xml:space="preserve"> (after phase alignment), </w:t>
      </w:r>
      <w:r>
        <w:rPr>
          <w:i/>
        </w:rPr>
        <w:t>W</w:t>
      </w:r>
      <w:r>
        <w:rPr>
          <w:i/>
          <w:vertAlign w:val="subscript"/>
        </w:rPr>
        <w:t>t</w:t>
      </w:r>
      <w:r>
        <w:rPr/>
        <w:t xml:space="preserve"> = ReΣ</w:t>
      </w:r>
      <w:r>
        <w:rPr>
          <w:i/>
          <w:vertAlign w:val="subscript"/>
        </w:rPr>
        <w:t>j</w:t>
      </w:r>
      <w:r>
        <w:rPr>
          <w:i/>
        </w:rPr>
        <w:t>e</w:t>
      </w:r>
      <w:r>
        <w:rPr>
          <w:vertAlign w:val="subscript"/>
        </w:rPr>
        <w:t>0</w:t>
      </w:r>
      <w:r>
        <w:rPr>
          <w:i/>
          <w:vertAlign w:val="subscript"/>
        </w:rPr>
        <w:t>j</w:t>
      </w:r>
      <w:r>
        <w:rPr>
          <w:vertAlign w:val="superscript"/>
        </w:rPr>
        <w:t>*</w:t>
      </w:r>
      <w:r>
        <w:rPr>
          <w:i/>
        </w:rPr>
        <w:t>e</w:t>
      </w:r>
      <w:r>
        <w:rPr>
          <w:i/>
          <w:vertAlign w:val="subscript"/>
        </w:rPr>
        <w:t>tj</w:t>
      </w:r>
      <w:r>
        <w:rPr/>
        <w:t xml:space="preserve">, </w:t>
      </w:r>
      <w:r>
        <w:rPr>
          <w:i/>
        </w:rPr>
        <w:t>Q</w:t>
      </w:r>
      <w:r>
        <w:rPr>
          <w:vertAlign w:val="subscript"/>
        </w:rPr>
        <w:t>0</w:t>
      </w:r>
      <w:r>
        <w:rPr/>
        <w:t xml:space="preserve"> = Σ</w:t>
      </w:r>
      <w:r>
        <w:rPr>
          <w:i/>
          <w:vertAlign w:val="subscript"/>
        </w:rPr>
        <w:t>j</w:t>
      </w:r>
      <w:r>
        <w:rPr/>
        <w:t>|</w:t>
      </w:r>
      <w:r>
        <w:rPr>
          <w:i/>
        </w:rPr>
        <w:t>e</w:t>
      </w:r>
      <w:r>
        <w:rPr>
          <w:vertAlign w:val="subscript"/>
        </w:rPr>
        <w:t>0</w:t>
      </w:r>
      <w:r>
        <w:rPr>
          <w:i/>
          <w:vertAlign w:val="subscript"/>
        </w:rPr>
        <w:t>j</w:t>
      </w:r>
      <w:r>
        <w:rPr/>
        <w:t>|</w:t>
      </w:r>
      <w:r>
        <w:rPr>
          <w:vertAlign w:val="superscript"/>
        </w:rPr>
        <w:t>2</w:t>
      </w:r>
      <w:r>
        <w:rPr/>
        <w:t xml:space="preserve"> − </w:t>
      </w:r>
      <w:r>
        <w:rPr>
          <w:i/>
        </w:rPr>
        <w:t>Jv</w:t>
      </w:r>
      <w:r>
        <w:rPr>
          <w:vertAlign w:val="subscript"/>
        </w:rPr>
        <w:t>0</w:t>
      </w:r>
      <w:r>
        <w:rPr/>
        <w:t xml:space="preserve"> and </w:t>
      </w:r>
      <w:r>
        <w:rPr>
          <w:i/>
        </w:rPr>
        <w:t>Q</w:t>
      </w:r>
      <w:r>
        <w:rPr>
          <w:i/>
          <w:vertAlign w:val="subscript"/>
        </w:rPr>
        <w:t>t</w:t>
      </w:r>
      <w:r>
        <w:rPr/>
        <w:t xml:space="preserve"> = Σ</w:t>
      </w:r>
      <w:r>
        <w:rPr>
          <w:i/>
          <w:vertAlign w:val="subscript"/>
        </w:rPr>
        <w:t>j</w:t>
      </w:r>
      <w:r>
        <w:rPr/>
        <w:t>|</w:t>
      </w:r>
      <w:r>
        <w:rPr>
          <w:i/>
        </w:rPr>
        <w:t>e</w:t>
      </w:r>
      <w:r>
        <w:rPr>
          <w:i/>
          <w:vertAlign w:val="subscript"/>
        </w:rPr>
        <w:t>tj</w:t>
      </w:r>
      <w:r>
        <w:rPr/>
        <w:t>|</w:t>
      </w:r>
      <w:r>
        <w:rPr>
          <w:vertAlign w:val="superscript"/>
        </w:rPr>
        <w:t>2</w:t>
      </w:r>
      <w:r>
        <w:rPr/>
        <w:t xml:space="preserve"> − </w:t>
      </w:r>
      <w:r>
        <w:rPr>
          <w:i/>
        </w:rPr>
        <w:t>Jv</w:t>
      </w:r>
      <w:r>
        <w:rPr/>
        <w:t xml:space="preserve">; these terms are mutually uncorrelated with variances </w:t>
      </w:r>
      <w:r>
        <w:rPr>
          <w:i/>
        </w:rPr>
        <w:t>Hv</w:t>
      </w:r>
      <w:r>
        <w:rPr>
          <w:vertAlign w:val="subscript"/>
        </w:rPr>
        <w:t>0</w:t>
      </w:r>
      <w:r>
        <w:rPr/>
        <w:t>/2</w:t>
      </w:r>
      <w:r>
        <w:rPr/>
        <w:t xml:space="preserve">, </w:t>
      </w:r>
      <w:r>
        <w:rPr>
          <w:i/>
        </w:rPr>
        <w:t>Hv</w:t>
      </w:r>
      <w:r>
        <w:rPr/>
        <w:t>/2</w:t>
      </w:r>
      <w:r>
        <w:rPr/>
        <w:t xml:space="preserve">, </w:t>
      </w:r>
      <w:r>
        <w:rPr>
          <w:i/>
        </w:rPr>
        <w:t>Jv</w:t>
      </w:r>
      <w:r>
        <w:rPr>
          <w:vertAlign w:val="subscript"/>
        </w:rPr>
        <w:t>0</w:t>
      </w:r>
      <w:r>
        <w:rPr>
          <w:i/>
        </w:rPr>
        <w:t>v</w:t>
      </w:r>
      <w:r>
        <w:rPr/>
        <w:t>/2</w:t>
      </w:r>
      <w:r>
        <w:rPr/>
        <w:t xml:space="preserve">, </w:t>
      </w:r>
      <w:r>
        <w:rPr>
          <w:i/>
        </w:rPr>
        <w:t>Jv</w:t>
      </w:r>
      <w:r>
        <w:rPr>
          <w:vertAlign w:val="subscript"/>
        </w:rPr>
        <w:t>0</w:t>
      </w:r>
      <w:r>
        <w:rPr>
          <w:vertAlign w:val="superscript"/>
        </w:rPr>
        <w:t>2</w:t>
      </w:r>
      <w:r>
        <w:rPr/>
        <w:t xml:space="preserve"> and </w:t>
      </w:r>
      <w:r>
        <w:rPr>
          <w:i/>
        </w:rPr>
        <w:t>Jv</w:t>
      </w:r>
      <w:r>
        <w:rPr>
          <w:vertAlign w:val="superscript"/>
        </w:rPr>
        <w:t>2</w:t>
      </w:r>
      <w:r>
        <w:rPr/>
        <w:t>. Around the noise-free point,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3523107" cy="160003"/>
                  <wp:docPr id="11" name="Picture 11"/>
                  <wp:cNvGraphicFramePr>
                    <a:graphicFrameLocks noChangeAspect="1"/>
                  </wp:cNvGraphicFramePr>
                  <a:graphic>
                    <a:graphicData uri="http://schemas.openxmlformats.org/drawingml/2006/picture">
                      <pic:pic>
                        <pic:nvPicPr>
                          <pic:cNvPr id="0" name="eq10.png"/>
                          <pic:cNvPicPr/>
                        </pic:nvPicPr>
                        <pic:blipFill>
                          <a:blip r:embed="rId17"/>
                          <a:stretch>
                            <a:fillRect/>
                          </a:stretch>
                        </pic:blipFill>
                        <pic:spPr>
                          <a:xfrm>
                            <a:off x="0" y="0"/>
                            <a:ext cx="3523107" cy="160003"/>
                          </a:xfrm>
                          <a:prstGeom prst="rect"/>
                        </pic:spPr>
                      </pic:pic>
                    </a:graphicData>
                  </a:graphic>
                </wp:inline>
              </w:drawing>
            </w:r>
          </w:p>
        </w:tc>
        <w:tc>
          <w:tcPr>
            <w:tcW w:type="dxa" w:w="646"/>
            <w:vAlign w:val="center"/>
          </w:tcPr>
          <w:p>
            <w:pPr>
              <w:snapToGrid w:val="0"/>
              <w:spacing w:line="240" w:lineRule="auto" w:before="120" w:after="120"/>
              <w:jc w:val="center"/>
            </w:pPr>
            <w:r>
              <w:t>(10)</w:t>
            </w:r>
          </w:p>
        </w:tc>
      </w:tr>
    </w:tbl>
    <w:p>
      <w:pPr>
        <w:spacing w:line="480" w:lineRule="auto"/>
        <w:jc w:val="both"/>
      </w:pPr>
      <w:r>
        <w:rPr/>
        <w:t xml:space="preserve">and the implicit-function theorem applied to Equation (4) gives, with </w:t>
      </w:r>
      <w:r>
        <w:rPr>
          <w:i/>
        </w:rPr>
        <w:t>D</w:t>
      </w:r>
      <w:r>
        <w:rPr/>
        <w:t xml:space="preserve"> = </w:t>
      </w:r>
      <w:r>
        <w:rPr>
          <w:i/>
        </w:rPr>
        <w:t>H</w:t>
      </w:r>
      <w:r>
        <w:rPr/>
        <w:t>(</w:t>
      </w:r>
      <w:r>
        <w:rPr>
          <w:i/>
        </w:rPr>
        <w:t>v</w:t>
      </w:r>
      <w:r>
        <w:rPr/>
        <w:t xml:space="preserve"> + </w:t>
      </w:r>
      <w:r>
        <w:rPr>
          <w:i/>
        </w:rPr>
        <w:t>a</w:t>
      </w:r>
      <w:r>
        <w:rPr>
          <w:vertAlign w:val="superscript"/>
        </w:rPr>
        <w:t>2</w:t>
      </w:r>
      <w:r>
        <w:rPr>
          <w:i/>
        </w:rPr>
        <w:t>v</w:t>
      </w:r>
      <w:r>
        <w:rPr>
          <w:vertAlign w:val="subscript"/>
        </w:rPr>
        <w:t>0</w:t>
      </w:r>
      <w:r>
        <w:rPr/>
        <w:t>)</w:t>
      </w:r>
      <w:r>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2848483" cy="313790"/>
                  <wp:docPr id="12" name="Picture 12"/>
                  <wp:cNvGraphicFramePr>
                    <a:graphicFrameLocks noChangeAspect="1"/>
                  </wp:cNvGraphicFramePr>
                  <a:graphic>
                    <a:graphicData uri="http://schemas.openxmlformats.org/drawingml/2006/picture">
                      <pic:pic>
                        <pic:nvPicPr>
                          <pic:cNvPr id="0" name="eq11.png"/>
                          <pic:cNvPicPr/>
                        </pic:nvPicPr>
                        <pic:blipFill>
                          <a:blip r:embed="rId18"/>
                          <a:stretch>
                            <a:fillRect/>
                          </a:stretch>
                        </pic:blipFill>
                        <pic:spPr>
                          <a:xfrm>
                            <a:off x="0" y="0"/>
                            <a:ext cx="2848483" cy="313790"/>
                          </a:xfrm>
                          <a:prstGeom prst="rect"/>
                        </pic:spPr>
                      </pic:pic>
                    </a:graphicData>
                  </a:graphic>
                </wp:inline>
              </w:drawing>
            </w:r>
          </w:p>
        </w:tc>
        <w:tc>
          <w:tcPr>
            <w:tcW w:type="dxa" w:w="646"/>
            <w:vAlign w:val="center"/>
          </w:tcPr>
          <w:p>
            <w:pPr>
              <w:snapToGrid w:val="0"/>
              <w:spacing w:line="240" w:lineRule="auto" w:before="120" w:after="120"/>
              <w:jc w:val="center"/>
            </w:pPr>
            <w:r>
              <w:t>(11)</w:t>
            </w:r>
          </w:p>
        </w:tc>
      </w:tr>
    </w:tbl>
    <w:p>
      <w:pPr>
        <w:spacing w:line="480" w:lineRule="auto"/>
        <w:ind w:firstLine="420"/>
        <w:jc w:val="both"/>
      </w:pPr>
      <w:r>
        <w:rPr/>
        <w:t xml:space="preserve">The first two terms contain only the reference error and are shared by all observations; the remaining three are independent across observations. Since </w:t>
      </w:r>
      <w:r>
        <w:rPr>
          <w:i/>
        </w:rPr>
        <w:t>δA</w:t>
      </w:r>
      <w:r>
        <w:rPr>
          <w:i/>
          <w:vertAlign w:val="subscript"/>
        </w:rPr>
        <w:t>t</w:t>
      </w:r>
      <w:r>
        <w:rPr/>
        <w:t xml:space="preserve"> = −(</w:t>
      </w:r>
      <w:r>
        <w:rPr>
          <w:i/>
        </w:rPr>
        <w:t>K</w:t>
      </w:r>
      <w:r>
        <w:rPr/>
        <w:t>/</w:t>
      </w:r>
      <w:r>
        <w:rPr>
          <w:i/>
        </w:rPr>
        <w:t>a</w:t>
      </w:r>
      <w:r>
        <w:rPr/>
        <w:t xml:space="preserve">) </w:t>
      </w:r>
      <w:r>
        <w:rPr>
          <w:i/>
        </w:rPr>
        <w:t>δa</w:t>
      </w:r>
      <w:r>
        <w:rPr>
          <w:i/>
          <w:vertAlign w:val="subscript"/>
        </w:rPr>
        <w:t>t</w:t>
      </w:r>
      <w:r>
        <w:rPr/>
        <w:t>, the variance of the averaged attenuation is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2662809" cy="351893"/>
                  <wp:docPr id="13" name="Picture 13"/>
                  <wp:cNvGraphicFramePr>
                    <a:graphicFrameLocks noChangeAspect="1"/>
                  </wp:cNvGraphicFramePr>
                  <a:graphic>
                    <a:graphicData uri="http://schemas.openxmlformats.org/drawingml/2006/picture">
                      <pic:pic>
                        <pic:nvPicPr>
                          <pic:cNvPr id="0" name="eq12.png"/>
                          <pic:cNvPicPr/>
                        </pic:nvPicPr>
                        <pic:blipFill>
                          <a:blip r:embed="rId19"/>
                          <a:stretch>
                            <a:fillRect/>
                          </a:stretch>
                        </pic:blipFill>
                        <pic:spPr>
                          <a:xfrm>
                            <a:off x="0" y="0"/>
                            <a:ext cx="2662809" cy="351893"/>
                          </a:xfrm>
                          <a:prstGeom prst="rect"/>
                        </pic:spPr>
                      </pic:pic>
                    </a:graphicData>
                  </a:graphic>
                </wp:inline>
              </w:drawing>
            </w:r>
          </w:p>
        </w:tc>
        <w:tc>
          <w:tcPr>
            <w:tcW w:type="dxa" w:w="646"/>
            <w:vAlign w:val="center"/>
          </w:tcPr>
          <w:p>
            <w:pPr>
              <w:snapToGrid w:val="0"/>
              <w:spacing w:line="240" w:lineRule="auto" w:before="120" w:after="120"/>
              <w:jc w:val="center"/>
            </w:pPr>
            <w:r>
              <w:t>(12)</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2638806" cy="368702"/>
                  <wp:docPr id="14" name="Picture 14"/>
                  <wp:cNvGraphicFramePr>
                    <a:graphicFrameLocks noChangeAspect="1"/>
                  </wp:cNvGraphicFramePr>
                  <a:graphic>
                    <a:graphicData uri="http://schemas.openxmlformats.org/drawingml/2006/picture">
                      <pic:pic>
                        <pic:nvPicPr>
                          <pic:cNvPr id="0" name="eq13.png"/>
                          <pic:cNvPicPr/>
                        </pic:nvPicPr>
                        <pic:blipFill>
                          <a:blip r:embed="rId20"/>
                          <a:stretch>
                            <a:fillRect/>
                          </a:stretch>
                        </pic:blipFill>
                        <pic:spPr>
                          <a:xfrm>
                            <a:off x="0" y="0"/>
                            <a:ext cx="2638806" cy="368702"/>
                          </a:xfrm>
                          <a:prstGeom prst="rect"/>
                        </pic:spPr>
                      </pic:pic>
                    </a:graphicData>
                  </a:graphic>
                </wp:inline>
              </w:drawing>
            </w:r>
          </w:p>
        </w:tc>
        <w:tc>
          <w:tcPr>
            <w:tcW w:type="dxa" w:w="646"/>
            <w:vAlign w:val="center"/>
          </w:tcPr>
          <w:p>
            <w:pPr>
              <w:snapToGrid w:val="0"/>
              <w:spacing w:line="240" w:lineRule="auto" w:before="120" w:after="120"/>
              <w:jc w:val="center"/>
            </w:pPr>
            <w:r>
              <w:t>(13)</w:t>
            </w:r>
          </w:p>
        </w:tc>
      </w:tr>
    </w:tbl>
    <w:p>
      <w:pPr>
        <w:spacing w:line="480" w:lineRule="auto"/>
        <w:ind w:firstLine="420"/>
        <w:jc w:val="both"/>
      </w:pPr>
      <w:r>
        <w:rPr/>
        <w:t xml:space="preserve">The terms in </w:t>
      </w:r>
      <w:r>
        <w:rPr>
          <w:i/>
        </w:rPr>
        <w:t>X</w:t>
      </w:r>
      <w:r>
        <w:rPr/>
        <w:t xml:space="preserve"> and </w:t>
      </w:r>
      <w:r>
        <w:rPr>
          <w:i/>
        </w:rPr>
        <w:t>Y</w:t>
      </w:r>
      <w:r>
        <w:rPr>
          <w:i/>
          <w:vertAlign w:val="subscript"/>
        </w:rPr>
        <w:t>t</w:t>
      </w:r>
      <w:r>
        <w:rPr/>
        <w:t xml:space="preserve"> reproduce the two terms of the bound in Equation (6): to first order in the noise, the profile estimator is efficient. The remaining terms come from the noise energies </w:t>
      </w:r>
      <w:r>
        <w:rPr>
          <w:i/>
        </w:rPr>
        <w:t>Q</w:t>
      </w:r>
      <w:r>
        <w:rPr>
          <w:vertAlign w:val="subscript"/>
        </w:rPr>
        <w:t>0</w:t>
      </w:r>
      <w:r>
        <w:rPr/>
        <w:t xml:space="preserve">, </w:t>
      </w:r>
      <w:r>
        <w:rPr>
          <w:i/>
        </w:rPr>
        <w:t>Q</w:t>
      </w:r>
      <w:r>
        <w:rPr>
          <w:i/>
          <w:vertAlign w:val="subscript"/>
        </w:rPr>
        <w:t>t</w:t>
      </w:r>
      <w:r>
        <w:rPr/>
        <w:t xml:space="preserve"> and the cross term </w:t>
      </w:r>
      <w:r>
        <w:rPr>
          <w:i/>
        </w:rPr>
        <w:t>W</w:t>
      </w:r>
      <w:r>
        <w:rPr>
          <w:i/>
          <w:vertAlign w:val="subscript"/>
        </w:rPr>
        <w:t>t</w:t>
      </w:r>
      <w:r>
        <w:rPr/>
        <w:t xml:space="preserve">; they are of order </w:t>
      </w:r>
      <w:r>
        <w:rPr/>
        <w:t>1/(</w:t>
      </w:r>
      <w:r>
        <w:rPr>
          <w:i/>
        </w:rPr>
        <w:t>Jγ</w:t>
      </w:r>
      <w:r>
        <w:rPr>
          <w:vertAlign w:val="superscript"/>
        </w:rPr>
        <w:t>2</w:t>
      </w:r>
      <w:r>
        <w:rPr/>
        <w:t>)</w:t>
      </w:r>
      <w:r>
        <w:rPr/>
        <w:t xml:space="preserve">, comparable to the first-order terms when </w:t>
      </w:r>
      <w:r>
        <w:rPr>
          <w:i/>
        </w:rPr>
        <w:t>γ</w:t>
      </w:r>
      <w:r>
        <w:rPr>
          <w:vertAlign w:val="subscript"/>
        </w:rPr>
        <w:t>r</w:t>
      </w:r>
      <w:r>
        <w:rPr/>
        <w:t xml:space="preserve"> and </w:t>
      </w:r>
      <w:r>
        <w:rPr>
          <w:i/>
        </w:rPr>
        <w:t>γ</w:t>
      </w:r>
      <w:r>
        <w:rPr>
          <w:vertAlign w:val="subscript"/>
        </w:rPr>
        <w:t>t</w:t>
      </w:r>
      <w:r>
        <w:rPr/>
        <w:t xml:space="preserve"> are close to one, and negligible at high SNR. The shared excess over the bound is </w:t>
      </w:r>
      <w:r>
        <w:rPr/>
        <w:t>2</w:t>
      </w:r>
      <w:r>
        <w:rPr>
          <w:i/>
        </w:rPr>
        <w:t>γ</w:t>
      </w:r>
      <w:r>
        <w:rPr>
          <w:vertAlign w:val="subscript"/>
        </w:rPr>
        <w:t>r</w:t>
      </w:r>
      <w:r>
        <w:rPr/>
        <w:t>/(</w:t>
      </w:r>
      <w:r>
        <w:rPr>
          <w:i/>
        </w:rPr>
        <w:t>γ</w:t>
      </w:r>
      <w:r>
        <w:rPr>
          <w:vertAlign w:val="subscript"/>
        </w:rPr>
        <w:t>r</w:t>
      </w:r>
      <w:r>
        <w:rPr/>
        <w:t xml:space="preserve"> + </w:t>
      </w:r>
      <w:r>
        <w:rPr>
          <w:i/>
        </w:rPr>
        <w:t>γ</w:t>
      </w:r>
      <w:r>
        <w:rPr>
          <w:vertAlign w:val="subscript"/>
        </w:rPr>
        <w:t>t</w:t>
      </w:r>
      <w:r>
        <w:rPr/>
        <w:t>)</w:t>
      </w:r>
      <w:r>
        <w:rPr>
          <w:vertAlign w:val="superscript"/>
        </w:rPr>
        <w:t>2</w:t>
      </w:r>
      <w:r>
        <w:rPr/>
        <w:t xml:space="preserve">, or about </w:t>
      </w:r>
      <w:r>
        <w:rPr/>
        <w:t>2/</w:t>
      </w:r>
      <w:r>
        <w:rPr>
          <w:i/>
        </w:rPr>
        <w:t>γ</w:t>
      </w:r>
      <w:r>
        <w:rPr>
          <w:vertAlign w:val="subscript"/>
        </w:rPr>
        <w:t>r</w:t>
      </w:r>
      <w:r>
        <w:rPr/>
        <w:t xml:space="preserve"> when </w:t>
      </w:r>
      <w:r>
        <w:rPr>
          <w:i/>
        </w:rPr>
        <w:t>γ</w:t>
      </w:r>
      <w:r>
        <w:rPr>
          <w:vertAlign w:val="subscript"/>
        </w:rPr>
        <w:t>r</w:t>
      </w:r>
      <w:r>
        <w:rPr/>
        <w:t xml:space="preserve"> is much larger than </w:t>
      </w:r>
      <w:r>
        <w:rPr>
          <w:i/>
        </w:rPr>
        <w:t>γ</w:t>
      </w:r>
      <w:r>
        <w:rPr>
          <w:vertAlign w:val="subscript"/>
        </w:rPr>
        <w:t>t</w:t>
      </w:r>
      <w:r>
        <w:rPr/>
        <w:t>.</w:t>
      </w:r>
    </w:p>
    <w:p>
      <w:pPr>
        <w:pStyle w:val="2"/>
        <w:spacing w:line="480" w:lineRule="auto"/>
      </w:pPr>
      <w:r>
        <w:rPr/>
        <w:t>2.5 Interval construction</w:t>
      </w:r>
    </w:p>
    <w:p>
      <w:pPr>
        <w:spacing w:line="480" w:lineRule="auto"/>
        <w:ind w:firstLine="420"/>
        <w:jc w:val="both"/>
      </w:pPr>
      <w:r>
        <w:rPr/>
        <w:t xml:space="preserve">Equations (12) and (13) require only observable quantities. The channel energy is replaced by </w:t>
      </w:r>
      <w:r>
        <w:rPr>
          <w:i/>
        </w:rPr>
        <w:t>Ĥ</w:t>
      </w:r>
      <w:r>
        <w:rPr/>
        <w:t xml:space="preserve"> = max(</w:t>
      </w:r>
      <w:r>
        <w:rPr>
          <w:i/>
        </w:rPr>
        <w:t>P</w:t>
      </w:r>
      <w:r>
        <w:rPr>
          <w:vertAlign w:val="subscript"/>
        </w:rPr>
        <w:t>0</w:t>
      </w:r>
      <w:r>
        <w:rPr/>
        <w:t xml:space="preserve"> − </w:t>
      </w:r>
      <w:r>
        <w:rPr>
          <w:i/>
        </w:rPr>
        <w:t>Jv</w:t>
      </w:r>
      <w:r>
        <w:rPr>
          <w:vertAlign w:val="subscript"/>
        </w:rPr>
        <w:t>0</w:t>
      </w:r>
      <w:r>
        <w:rPr/>
        <w:t>, 0.05</w:t>
      </w:r>
      <w:r>
        <w:rPr>
          <w:i/>
        </w:rPr>
        <w:t>P</w:t>
      </w:r>
      <w:r>
        <w:rPr>
          <w:vertAlign w:val="subscript"/>
        </w:rPr>
        <w:t>0</w:t>
      </w:r>
      <w:r>
        <w:rPr/>
        <w:t>)</w:t>
      </w:r>
      <w:r>
        <w:rPr/>
        <w:t xml:space="preserve"> and </w:t>
      </w:r>
      <w:r>
        <w:rPr>
          <w:i/>
        </w:rPr>
        <w:t>a</w:t>
      </w:r>
      <w:r>
        <w:rPr>
          <w:i/>
          <w:vertAlign w:val="subscript"/>
        </w:rPr>
        <w:t>t</w:t>
      </w:r>
      <w:r>
        <w:rPr/>
        <w:t xml:space="preserve"> by </w:t>
      </w:r>
      <w:r>
        <w:rPr>
          <w:i/>
        </w:rPr>
        <w:t>â</w:t>
      </w:r>
      <w:r>
        <w:rPr>
          <w:i/>
          <w:vertAlign w:val="subscript"/>
        </w:rPr>
        <w:t>t</w:t>
      </w:r>
      <w:r>
        <w:rPr/>
        <w:t xml:space="preserve">; when the attenuation varies over the window, the independent terms are summed over the observations and the shared noise-energy coefficient is averaged. The interval at nominal level </w:t>
      </w:r>
      <w:r>
        <w:rPr/>
        <w:t xml:space="preserve">1 − </w:t>
      </w:r>
      <w:r>
        <w:rPr>
          <w:i/>
        </w:rPr>
        <w:t>β</w:t>
      </w:r>
      <w:r>
        <w:rPr/>
        <w:t xml:space="preserve"> is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1205357" cy="254481"/>
                  <wp:docPr id="15" name="Picture 15"/>
                  <wp:cNvGraphicFramePr>
                    <a:graphicFrameLocks noChangeAspect="1"/>
                  </wp:cNvGraphicFramePr>
                  <a:graphic>
                    <a:graphicData uri="http://schemas.openxmlformats.org/drawingml/2006/picture">
                      <pic:pic>
                        <pic:nvPicPr>
                          <pic:cNvPr id="0" name="eq14.png"/>
                          <pic:cNvPicPr/>
                        </pic:nvPicPr>
                        <pic:blipFill>
                          <a:blip r:embed="rId21"/>
                          <a:stretch>
                            <a:fillRect/>
                          </a:stretch>
                        </pic:blipFill>
                        <pic:spPr>
                          <a:xfrm>
                            <a:off x="0" y="0"/>
                            <a:ext cx="1205357" cy="254481"/>
                          </a:xfrm>
                          <a:prstGeom prst="rect"/>
                        </pic:spPr>
                      </pic:pic>
                    </a:graphicData>
                  </a:graphic>
                </wp:inline>
              </w:drawing>
            </w:r>
          </w:p>
        </w:tc>
        <w:tc>
          <w:tcPr>
            <w:tcW w:type="dxa" w:w="646"/>
            <w:vAlign w:val="center"/>
          </w:tcPr>
          <w:p>
            <w:pPr>
              <w:snapToGrid w:val="0"/>
              <w:spacing w:line="240" w:lineRule="auto" w:before="120" w:after="120"/>
              <w:jc w:val="center"/>
            </w:pPr>
            <w:r>
              <w:t>(14)</w:t>
            </w:r>
          </w:p>
        </w:tc>
      </w:tr>
    </w:tbl>
    <w:p>
      <w:pPr>
        <w:spacing w:line="480" w:lineRule="auto"/>
        <w:ind w:firstLine="420"/>
        <w:jc w:val="both"/>
      </w:pPr>
      <w:r>
        <w:rPr/>
        <w:t xml:space="preserve">Three reference intervals are formed from the same estimates: the fixed-weight linearisation of Equation (8); the same linearisation with the shared covariance wrongly treated as independent across observations; and a parametric bootstrap (Efron, 1979) in which each of </w:t>
      </w:r>
      <w:r>
        <w:rPr>
          <w:i/>
        </w:rPr>
        <w:t>N</w:t>
      </w:r>
      <w:r>
        <w:rPr>
          <w:vertAlign w:val="subscript"/>
        </w:rPr>
        <w:t>b</w:t>
      </w:r>
      <w:r>
        <w:rPr/>
        <w:t xml:space="preserve"> replicates draws one reference error, reused by all observations,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650"/>
        <w:gridCol w:w="646"/>
      </w:tblGrid>
      <w:tr>
        <w:tc>
          <w:tcPr>
            <w:tcW w:type="dxa" w:w="7650"/>
            <w:vAlign w:val="center"/>
          </w:tcPr>
          <w:p>
            <w:pPr>
              <w:snapToGrid w:val="0"/>
              <w:spacing w:line="240" w:lineRule="auto" w:before="120" w:after="120"/>
              <w:jc w:val="center"/>
            </w:pPr>
            <w:r>
              <w:drawing>
                <wp:inline xmlns:a="http://schemas.openxmlformats.org/drawingml/2006/main" xmlns:pic="http://schemas.openxmlformats.org/drawingml/2006/picture">
                  <wp:extent cx="4071111" cy="228543"/>
                  <wp:docPr id="16" name="Picture 16"/>
                  <wp:cNvGraphicFramePr>
                    <a:graphicFrameLocks noChangeAspect="1"/>
                  </wp:cNvGraphicFramePr>
                  <a:graphic>
                    <a:graphicData uri="http://schemas.openxmlformats.org/drawingml/2006/picture">
                      <pic:pic>
                        <pic:nvPicPr>
                          <pic:cNvPr id="0" name="eq15.png"/>
                          <pic:cNvPicPr/>
                        </pic:nvPicPr>
                        <pic:blipFill>
                          <a:blip r:embed="rId22"/>
                          <a:stretch>
                            <a:fillRect/>
                          </a:stretch>
                        </pic:blipFill>
                        <pic:spPr>
                          <a:xfrm>
                            <a:off x="0" y="0"/>
                            <a:ext cx="4071111" cy="228543"/>
                          </a:xfrm>
                          <a:prstGeom prst="rect"/>
                        </pic:spPr>
                      </pic:pic>
                    </a:graphicData>
                  </a:graphic>
                </wp:inline>
              </w:drawing>
            </w:r>
          </w:p>
        </w:tc>
        <w:tc>
          <w:tcPr>
            <w:tcW w:type="dxa" w:w="646"/>
            <w:vAlign w:val="center"/>
          </w:tcPr>
          <w:p>
            <w:pPr>
              <w:snapToGrid w:val="0"/>
              <w:spacing w:line="240" w:lineRule="auto" w:before="120" w:after="120"/>
              <w:jc w:val="center"/>
            </w:pPr>
            <w:r>
              <w:t>(15)</w:t>
            </w:r>
          </w:p>
        </w:tc>
      </w:tr>
    </w:tbl>
    <w:p>
      <w:pPr>
        <w:spacing w:line="480" w:lineRule="auto"/>
        <w:jc w:val="both"/>
      </w:pPr>
      <w:r>
        <w:rPr/>
        <w:t xml:space="preserve">where </w:t>
      </w:r>
      <w:r>
        <w:rPr>
          <w:i/>
        </w:rPr>
        <w:t>h̃</w:t>
      </w:r>
      <w:r>
        <w:rPr>
          <w:i/>
          <w:vertAlign w:val="subscript"/>
        </w:rPr>
        <w:t>j</w:t>
      </w:r>
      <w:r>
        <w:rPr/>
        <w:t xml:space="preserve"> = </w:t>
      </w:r>
      <w:r>
        <w:rPr>
          <w:i/>
        </w:rPr>
        <w:t>r</w:t>
      </w:r>
      <w:r>
        <w:rPr>
          <w:i/>
          <w:vertAlign w:val="subscript"/>
        </w:rPr>
        <w:t>j</w:t>
      </w:r>
      <w:r>
        <w:rPr/>
        <w:t>(</w:t>
      </w:r>
      <w:r>
        <w:rPr>
          <w:i/>
        </w:rPr>
        <w:t>Ĥ</w:t>
      </w:r>
      <w:r>
        <w:rPr/>
        <w:t>/</w:t>
      </w:r>
      <w:r>
        <w:rPr>
          <w:i/>
        </w:rPr>
        <w:t>P</w:t>
      </w:r>
      <w:r>
        <w:rPr>
          <w:vertAlign w:val="subscript"/>
        </w:rPr>
        <w:t>0</w:t>
      </w:r>
      <w:r>
        <w:rPr/>
        <w:t>)</w:t>
      </w:r>
      <w:r>
        <w:rPr>
          <w:vertAlign w:val="superscript"/>
        </w:rPr>
        <w:t>1/2</w:t>
      </w:r>
      <w:r>
        <w:rPr/>
        <w:t xml:space="preserve"> and </w:t>
      </w:r>
      <w:r>
        <w:rPr>
          <w:i/>
        </w:rPr>
        <w:t>q</w:t>
      </w:r>
      <w:r>
        <w:rPr>
          <w:vertAlign w:val="superscript"/>
        </w:rPr>
        <w:t>*</w:t>
      </w:r>
      <w:r>
        <w:rPr>
          <w:i/>
          <w:vertAlign w:val="subscript"/>
        </w:rPr>
        <w:t>u</w:t>
      </w:r>
      <w:r>
        <w:rPr/>
        <w:t xml:space="preserve"> is the </w:t>
      </w:r>
      <w:r>
        <w:rPr>
          <w:i/>
        </w:rPr>
        <w:t>u</w:t>
      </w:r>
      <w:r>
        <w:rPr/>
        <w:t>-quantile of the bootstrap means.</w:t>
      </w:r>
    </w:p>
    <w:p>
      <w:pPr>
        <w:numPr>
          <w:ilvl w:val="0"/>
          <w:numId w:val="2"/>
        </w:numPr>
        <w:pStyle w:val="1"/>
        <w:spacing w:line="480" w:lineRule="auto"/>
      </w:pPr>
      <w:r>
        <w:rPr/>
        <w:t>Simulation study</w:t>
      </w:r>
    </w:p>
    <w:p>
      <w:pPr>
        <w:pStyle w:val="2"/>
        <w:spacing w:line="480" w:lineRule="auto"/>
      </w:pPr>
      <w:r>
        <w:rPr/>
        <w:t>3.1 Configuration</w:t>
      </w:r>
    </w:p>
    <w:p>
      <w:pPr>
        <w:spacing w:line="480" w:lineRule="auto"/>
        <w:ind w:firstLine="420"/>
        <w:jc w:val="both"/>
      </w:pPr>
      <w:r>
        <w:rPr/>
        <w:t xml:space="preserve">Table 1 lists the simulation settings. Each slot is generated in the time domain: the DM-RS sequence of TS 38.211 is mapped to its subcarriers, transformed by the IFFT, extended by the cyclic prefix, passed through a three-path channel whose delays lie inside the cyclic prefix, scaled by the rain amplitude, rotated by a random common phase and corrupted by white Gaussian noise. The receiver removes the cyclic prefix, applies the FFT and divides by the known pilots. A fixed attenuation of 2 dB corresponds to 21.5 mm/h on the 0.5 km link. Four SNRs and four reference lengths form 16 conditions; in each, 2000 independent references are generated and each is reused for 32 rain observations, and intervals are evaluated for the mean of the first </w:t>
      </w:r>
      <w:r>
        <w:rPr>
          <w:i/>
        </w:rPr>
        <w:t>n</w:t>
      </w:r>
      <w:r>
        <w:rPr/>
        <w:t xml:space="preserve"> = 1, 4, 16 and 32 estimates at nominal levels of 50%, 80%, 90% and 95%. The main condition, 0 dB with </w:t>
      </w:r>
      <w:r>
        <w:rPr>
          <w:i/>
        </w:rPr>
        <w:t>M</w:t>
      </w:r>
      <w:r>
        <w:rPr/>
        <w:t xml:space="preserve"> = 2</w:t>
      </w:r>
      <w:r>
        <w:rPr/>
        <w:t xml:space="preserve"> (</w:t>
      </w:r>
      <w:r>
        <w:rPr>
          <w:i/>
        </w:rPr>
        <w:t>γ</w:t>
      </w:r>
      <w:r>
        <w:rPr>
          <w:vertAlign w:val="subscript"/>
        </w:rPr>
        <w:t>r</w:t>
      </w:r>
      <w:r>
        <w:rPr/>
        <w:t xml:space="preserve"> = 2</w:t>
      </w:r>
      <w:r>
        <w:rPr/>
        <w:t xml:space="preserve">, </w:t>
      </w:r>
      <w:r>
        <w:rPr>
          <w:i/>
        </w:rPr>
        <w:t>γ</w:t>
      </w:r>
      <w:r>
        <w:rPr>
          <w:vertAlign w:val="subscript"/>
        </w:rPr>
        <w:t>t</w:t>
      </w:r>
      <w:r>
        <w:rPr/>
        <w:t xml:space="preserve"> = 0.63</w:t>
      </w:r>
      <w:r>
        <w:rPr/>
        <w:t>), represents a short reference at low SNR.</w:t>
      </w:r>
    </w:p>
    <w:p>
      <w:pPr>
        <w:keepNext/>
        <w:keepLines/>
        <w:spacing w:line="480" w:lineRule="auto"/>
        <w:jc w:val="center"/>
      </w:pPr>
      <w:r>
        <w:rPr/>
        <w:t xml:space="preserve">Table 1. </w:t>
      </w:r>
      <w:r>
        <w:rPr/>
        <w:t>Simulation settings.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07"/>
        <w:gridCol w:w="5669"/>
      </w:tblGrid>
      <w:tr>
        <w:tc>
          <w:tcPr>
            <w:tcW w:type="dxa" w:w="2608"/>
            <w:vAlign w:val="center"/>
            <w:tcBorders>
              <w:top w:val="single" w:sz="12" w:space="0" w:color="auto"/>
              <w:bottom w:val="single" w:sz="6" w:space="0" w:color="auto"/>
            </w:tcBorders>
          </w:tcPr>
          <w:p>
            <w:pPr>
              <w:keepNext/>
              <w:spacing w:line="240" w:lineRule="auto"/>
              <w:jc w:val="center"/>
            </w:pPr>
            <w:r>
              <w:rPr>
                <w:sz w:val="18"/>
              </w:rPr>
              <w:t>Parameter</w:t>
            </w:r>
          </w:p>
        </w:tc>
        <w:tc>
          <w:tcPr>
            <w:tcW w:type="dxa" w:w="5669"/>
            <w:vAlign w:val="center"/>
            <w:tcBorders>
              <w:top w:val="single" w:sz="12" w:space="0" w:color="auto"/>
              <w:bottom w:val="single" w:sz="6" w:space="0" w:color="auto"/>
            </w:tcBorders>
          </w:tcPr>
          <w:p>
            <w:pPr>
              <w:keepNext/>
              <w:spacing w:line="240" w:lineRule="auto"/>
              <w:jc w:val="center"/>
            </w:pPr>
            <w:r>
              <w:rPr>
                <w:sz w:val="18"/>
              </w:rPr>
              <w:t>Setting</w:t>
            </w:r>
          </w:p>
        </w:tc>
      </w:tr>
      <w:tr>
        <w:tc>
          <w:tcPr>
            <w:tcW w:type="dxa" w:w="2608"/>
            <w:vAlign w:val="center"/>
          </w:tcPr>
          <w:p>
            <w:pPr>
              <w:keepNext/>
              <w:spacing w:line="240" w:lineRule="auto"/>
              <w:jc w:val="center"/>
            </w:pPr>
            <w:r>
              <w:rPr>
                <w:sz w:val="18"/>
              </w:rPr>
              <w:t>Link</w:t>
            </w:r>
          </w:p>
        </w:tc>
        <w:tc>
          <w:tcPr>
            <w:tcW w:type="dxa" w:w="5669"/>
            <w:vAlign w:val="center"/>
          </w:tcPr>
          <w:p>
            <w:pPr>
              <w:keepNext/>
              <w:spacing w:line="240" w:lineRule="auto"/>
              <w:jc w:val="center"/>
            </w:pPr>
            <w:r>
              <w:rPr>
                <w:sz w:val="18"/>
              </w:rPr>
              <w:t xml:space="preserve">28 GHz, horizontal polarisation, 0.5 km; </w:t>
            </w:r>
            <w:r>
              <w:rPr>
                <w:i/>
                <w:sz w:val="18"/>
              </w:rPr>
              <w:t>k</w:t>
            </w:r>
            <w:r>
              <w:rPr>
                <w:sz w:val="18"/>
              </w:rPr>
              <w:t xml:space="preserve"> = 0.2051, </w:t>
            </w:r>
            <w:r>
              <w:rPr>
                <w:i/>
                <w:sz w:val="18"/>
              </w:rPr>
              <w:t>α</w:t>
            </w:r>
            <w:r>
              <w:rPr>
                <w:sz w:val="18"/>
              </w:rPr>
              <w:t xml:space="preserve"> = 0.9679</w:t>
            </w:r>
          </w:p>
        </w:tc>
      </w:tr>
      <w:tr>
        <w:tc>
          <w:tcPr>
            <w:tcW w:type="dxa" w:w="2608"/>
            <w:vAlign w:val="center"/>
          </w:tcPr>
          <w:p>
            <w:pPr>
              <w:keepNext/>
              <w:spacing w:line="240" w:lineRule="auto"/>
              <w:jc w:val="center"/>
            </w:pPr>
            <w:r>
              <w:rPr>
                <w:sz w:val="18"/>
              </w:rPr>
              <w:t>NR numerology</w:t>
            </w:r>
          </w:p>
        </w:tc>
        <w:tc>
          <w:tcPr>
            <w:tcW w:type="dxa" w:w="5669"/>
            <w:vAlign w:val="center"/>
          </w:tcPr>
          <w:p>
            <w:pPr>
              <w:keepNext/>
              <w:spacing w:line="240" w:lineRule="auto"/>
              <w:jc w:val="center"/>
            </w:pPr>
            <w:r>
              <w:rPr>
                <w:sz w:val="18"/>
              </w:rPr>
              <w:t>120 kHz subcarrier spacing, 1024-point FFT, 72-sample cyclic prefix</w:t>
            </w:r>
          </w:p>
        </w:tc>
      </w:tr>
      <w:tr>
        <w:tc>
          <w:tcPr>
            <w:tcW w:type="dxa" w:w="2608"/>
            <w:vAlign w:val="center"/>
          </w:tcPr>
          <w:p>
            <w:pPr>
              <w:keepNext/>
              <w:spacing w:line="240" w:lineRule="auto"/>
              <w:jc w:val="center"/>
            </w:pPr>
            <w:r>
              <w:rPr>
                <w:sz w:val="18"/>
              </w:rPr>
              <w:t>Pilots</w:t>
            </w:r>
          </w:p>
        </w:tc>
        <w:tc>
          <w:tcPr>
            <w:tcW w:type="dxa" w:w="5669"/>
            <w:vAlign w:val="center"/>
          </w:tcPr>
          <w:p>
            <w:pPr>
              <w:keepNext/>
              <w:spacing w:line="240" w:lineRule="auto"/>
              <w:jc w:val="center"/>
            </w:pPr>
            <w:r>
              <w:rPr>
                <w:sz w:val="18"/>
              </w:rPr>
              <w:t xml:space="preserve">12 RB, DM-RS type 1 on symbols 2 and 11, </w:t>
            </w:r>
            <w:r>
              <w:rPr>
                <w:i/>
                <w:sz w:val="18"/>
              </w:rPr>
              <w:t>J</w:t>
            </w:r>
            <w:r>
              <w:rPr>
                <w:sz w:val="18"/>
              </w:rPr>
              <w:t xml:space="preserve"> = 144 per slot</w:t>
            </w:r>
          </w:p>
        </w:tc>
      </w:tr>
      <w:tr>
        <w:tc>
          <w:tcPr>
            <w:tcW w:type="dxa" w:w="2608"/>
            <w:vAlign w:val="center"/>
          </w:tcPr>
          <w:p>
            <w:pPr>
              <w:keepNext/>
              <w:spacing w:line="240" w:lineRule="auto"/>
              <w:jc w:val="center"/>
            </w:pPr>
            <w:r>
              <w:rPr>
                <w:sz w:val="18"/>
              </w:rPr>
              <w:t>Channel</w:t>
            </w:r>
          </w:p>
        </w:tc>
        <w:tc>
          <w:tcPr>
            <w:tcW w:type="dxa" w:w="5669"/>
            <w:vAlign w:val="center"/>
          </w:tcPr>
          <w:p>
            <w:pPr>
              <w:keepNext/>
              <w:spacing w:line="240" w:lineRule="auto"/>
              <w:jc w:val="center"/>
            </w:pPr>
            <w:r>
              <w:rPr>
                <w:sz w:val="18"/>
              </w:rPr>
              <w:t>Three paths at 0, 73 and 187 ns; 0, −12.0 and −18.4 dB</w:t>
            </w:r>
          </w:p>
        </w:tc>
      </w:tr>
      <w:tr>
        <w:tc>
          <w:tcPr>
            <w:tcW w:type="dxa" w:w="2608"/>
            <w:vAlign w:val="center"/>
          </w:tcPr>
          <w:p>
            <w:pPr>
              <w:keepNext/>
              <w:spacing w:line="240" w:lineRule="auto"/>
              <w:jc w:val="center"/>
            </w:pPr>
            <w:r>
              <w:rPr>
                <w:sz w:val="18"/>
              </w:rPr>
              <w:t>Clear-sky SNR per pilot</w:t>
            </w:r>
          </w:p>
        </w:tc>
        <w:tc>
          <w:tcPr>
            <w:tcW w:type="dxa" w:w="5669"/>
            <w:vAlign w:val="center"/>
          </w:tcPr>
          <w:p>
            <w:pPr>
              <w:keepNext/>
              <w:spacing w:line="240" w:lineRule="auto"/>
              <w:jc w:val="center"/>
            </w:pPr>
            <w:r>
              <w:rPr>
                <w:sz w:val="18"/>
              </w:rPr>
              <w:t>0, 5, 15 and 25 dB</w:t>
            </w:r>
          </w:p>
        </w:tc>
      </w:tr>
      <w:tr>
        <w:tc>
          <w:tcPr>
            <w:tcW w:type="dxa" w:w="2608"/>
            <w:vAlign w:val="center"/>
          </w:tcPr>
          <w:p>
            <w:pPr>
              <w:keepNext/>
              <w:spacing w:line="240" w:lineRule="auto"/>
              <w:jc w:val="center"/>
            </w:pPr>
            <w:r>
              <w:rPr>
                <w:sz w:val="18"/>
              </w:rPr>
              <w:t xml:space="preserve">Reference slots </w:t>
            </w:r>
            <w:r>
              <w:rPr>
                <w:i/>
                <w:sz w:val="18"/>
              </w:rPr>
              <w:t>M</w:t>
            </w:r>
          </w:p>
        </w:tc>
        <w:tc>
          <w:tcPr>
            <w:tcW w:type="dxa" w:w="5669"/>
            <w:vAlign w:val="center"/>
          </w:tcPr>
          <w:p>
            <w:pPr>
              <w:keepNext/>
              <w:spacing w:line="240" w:lineRule="auto"/>
              <w:jc w:val="center"/>
            </w:pPr>
            <w:r>
              <w:rPr>
                <w:sz w:val="18"/>
              </w:rPr>
              <w:t>2, 8, 16 and 64</w:t>
            </w:r>
          </w:p>
        </w:tc>
      </w:tr>
      <w:tr>
        <w:tc>
          <w:tcPr>
            <w:tcW w:type="dxa" w:w="2608"/>
            <w:vAlign w:val="center"/>
          </w:tcPr>
          <w:p>
            <w:pPr>
              <w:keepNext/>
              <w:spacing w:line="240" w:lineRule="auto"/>
              <w:jc w:val="center"/>
            </w:pPr>
            <w:r>
              <w:rPr>
                <w:sz w:val="18"/>
              </w:rPr>
              <w:t>Rain observations</w:t>
            </w:r>
          </w:p>
        </w:tc>
        <w:tc>
          <w:tcPr>
            <w:tcW w:type="dxa" w:w="5669"/>
            <w:vAlign w:val="center"/>
          </w:tcPr>
          <w:p>
            <w:pPr>
              <w:keepNext/>
              <w:spacing w:line="240" w:lineRule="auto"/>
              <w:jc w:val="center"/>
            </w:pPr>
            <w:r>
              <w:rPr>
                <w:sz w:val="18"/>
              </w:rPr>
              <w:t xml:space="preserve">32 per reference; </w:t>
            </w:r>
            <w:r>
              <w:rPr>
                <w:i/>
                <w:sz w:val="18"/>
              </w:rPr>
              <w:t>A</w:t>
            </w:r>
            <w:r>
              <w:rPr>
                <w:sz w:val="18"/>
              </w:rPr>
              <w:t xml:space="preserve"> = 2 dB; random common phase</w:t>
            </w:r>
          </w:p>
        </w:tc>
      </w:tr>
      <w:tr>
        <w:tc>
          <w:tcPr>
            <w:tcW w:type="dxa" w:w="2608"/>
            <w:vAlign w:val="center"/>
          </w:tcPr>
          <w:p>
            <w:pPr>
              <w:keepNext/>
              <w:spacing w:line="240" w:lineRule="auto"/>
              <w:jc w:val="center"/>
            </w:pPr>
            <w:r>
              <w:rPr>
                <w:sz w:val="18"/>
              </w:rPr>
              <w:t>Averaging and levels</w:t>
            </w:r>
          </w:p>
        </w:tc>
        <w:tc>
          <w:tcPr>
            <w:tcW w:type="dxa" w:w="5669"/>
            <w:vAlign w:val="center"/>
          </w:tcPr>
          <w:p>
            <w:pPr>
              <w:keepNext/>
              <w:spacing w:line="240" w:lineRule="auto"/>
              <w:jc w:val="center"/>
            </w:pPr>
            <w:r>
              <w:rPr>
                <w:i/>
                <w:sz w:val="18"/>
              </w:rPr>
              <w:t>n</w:t>
            </w:r>
            <w:r>
              <w:rPr>
                <w:sz w:val="18"/>
              </w:rPr>
              <w:t xml:space="preserve"> = 1, 4, 16, 32; nominal 50%, 80%, 90%, 95%</w:t>
            </w:r>
          </w:p>
        </w:tc>
      </w:tr>
      <w:tr>
        <w:tc>
          <w:tcPr>
            <w:tcW w:type="dxa" w:w="2608"/>
            <w:vAlign w:val="center"/>
            <w:tcBorders>
              <w:bottom w:val="single" w:sz="12" w:space="0" w:color="auto"/>
            </w:tcBorders>
          </w:tcPr>
          <w:p>
            <w:pPr>
              <w:keepNext w:val="0"/>
              <w:spacing w:line="240" w:lineRule="auto"/>
              <w:jc w:val="center"/>
            </w:pPr>
            <w:r>
              <w:rPr>
                <w:sz w:val="18"/>
              </w:rPr>
              <w:t>Monte Carlo</w:t>
            </w:r>
          </w:p>
        </w:tc>
        <w:tc>
          <w:tcPr>
            <w:tcW w:type="dxa" w:w="5669"/>
            <w:vAlign w:val="center"/>
            <w:tcBorders>
              <w:bottom w:val="single" w:sz="12" w:space="0" w:color="auto"/>
            </w:tcBorders>
          </w:tcPr>
          <w:p>
            <w:pPr>
              <w:keepNext w:val="0"/>
              <w:spacing w:line="240" w:lineRule="auto"/>
              <w:jc w:val="center"/>
            </w:pPr>
            <w:r>
              <w:rPr>
                <w:sz w:val="18"/>
              </w:rPr>
              <w:t xml:space="preserve">2000 references per condition; </w:t>
            </w:r>
            <w:r>
              <w:rPr>
                <w:i/>
                <w:sz w:val="18"/>
              </w:rPr>
              <w:t>N</w:t>
            </w:r>
            <w:r>
              <w:rPr>
                <w:sz w:val="18"/>
                <w:vertAlign w:val="subscript"/>
              </w:rPr>
              <w:t>b</w:t>
            </w:r>
            <w:r>
              <w:rPr>
                <w:sz w:val="18"/>
              </w:rPr>
              <w:t xml:space="preserve"> = 400</w:t>
            </w:r>
          </w:p>
        </w:tc>
      </w:tr>
    </w:tbl>
    <w:p>
      <w:pPr>
        <w:spacing w:line="480" w:lineRule="auto"/>
        <w:jc w:val="both"/>
      </w:pPr>
    </w:p>
    <w:p>
      <w:pPr>
        <w:pStyle w:val="2"/>
        <w:spacing w:line="480" w:lineRule="auto"/>
      </w:pPr>
      <w:r>
        <w:rPr/>
        <w:t>3.2 Variance of the averaged attenuation</w:t>
      </w:r>
    </w:p>
    <w:p>
      <w:pPr>
        <w:spacing w:line="480" w:lineRule="auto"/>
        <w:ind w:firstLine="420"/>
        <w:jc w:val="both"/>
      </w:pPr>
      <w:r>
        <w:rPr/>
        <w:t xml:space="preserve">Table 2 compares the variance components at the main condition: the bound of Equation (6), the fixed-weight linearisation of Equation (9), the complete propagation of Equations (12)–(13) and the simulation, with 95% bootstrap intervals. The information bound has a shared term of 0.131 dB², and at </w:t>
      </w:r>
      <w:r>
        <w:rPr>
          <w:i/>
        </w:rPr>
        <w:t>n</w:t>
      </w:r>
      <w:r>
        <w:rPr/>
        <w:t xml:space="preserve"> = 32 the shared reference accounts for 91% of it (Equation 7). The complete propagation predicts a shared term of 0.207 dB², of which 0.076 dB² comes from the reference noise energy, and the simulated shared covariance is 0.212 dB² (95% interval 0.199–0.227). The fixed-weight linearisation predicts 0.087 dB², 58% below the complete value and below the bound itself. For the mean of 32 estimates, the simulated variance is 0.229 dB² (0.214–0.243), the complete propagation gives 0.224 dB², and the fixed-weight linearisation gives 0.096 dB².</w:t>
      </w:r>
    </w:p>
    <w:p>
      <w:pPr>
        <w:keepNext/>
        <w:keepLines/>
        <w:spacing w:line="480" w:lineRule="auto"/>
        <w:jc w:val="center"/>
      </w:pPr>
      <w:r>
        <w:rPr/>
        <w:t xml:space="preserve">Table 2. </w:t>
      </w:r>
      <w:r>
        <w:rPr/>
        <w:t xml:space="preserve">Variance components at the main condition (dB²; 0 dB, </w:t>
      </w:r>
      <w:r>
        <w:rPr>
          <w:i/>
        </w:rPr>
        <w:t>M</w:t>
      </w:r>
      <w:r>
        <w:rPr/>
        <w:t xml:space="preserve"> = 2, </w:t>
      </w:r>
      <w:r>
        <w:rPr>
          <w:i/>
        </w:rPr>
        <w:t>J</w:t>
      </w:r>
      <w:r>
        <w:rPr/>
        <w:t xml:space="preserve"> = 144).</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40"/>
        <w:gridCol w:w="2040"/>
        <w:gridCol w:w="1927"/>
        <w:gridCol w:w="2267"/>
      </w:tblGrid>
      <w:tr>
        <w:tc>
          <w:tcPr>
            <w:tcW w:type="dxa" w:w="2041"/>
            <w:vAlign w:val="center"/>
            <w:tcBorders>
              <w:top w:val="single" w:sz="12" w:space="0" w:color="auto"/>
              <w:bottom w:val="single" w:sz="6" w:space="0" w:color="auto"/>
            </w:tcBorders>
          </w:tcPr>
          <w:p>
            <w:pPr>
              <w:keepNext/>
              <w:spacing w:line="240" w:lineRule="auto"/>
              <w:jc w:val="center"/>
            </w:pPr>
            <w:r>
              <w:rPr>
                <w:sz w:val="18"/>
              </w:rPr>
              <w:t>Quantity</w:t>
            </w:r>
          </w:p>
        </w:tc>
        <w:tc>
          <w:tcPr>
            <w:tcW w:type="dxa" w:w="2041"/>
            <w:vAlign w:val="center"/>
            <w:tcBorders>
              <w:top w:val="single" w:sz="12" w:space="0" w:color="auto"/>
              <w:bottom w:val="single" w:sz="6" w:space="0" w:color="auto"/>
            </w:tcBorders>
          </w:tcPr>
          <w:p>
            <w:pPr>
              <w:keepNext/>
              <w:spacing w:line="240" w:lineRule="auto"/>
              <w:jc w:val="center"/>
            </w:pPr>
            <w:r>
              <w:rPr>
                <w:sz w:val="18"/>
              </w:rPr>
              <w:t xml:space="preserve">Shared </w:t>
            </w:r>
            <w:r>
              <w:rPr>
                <w:i/>
                <w:sz w:val="18"/>
              </w:rPr>
              <w:t>S</w:t>
            </w:r>
          </w:p>
        </w:tc>
        <w:tc>
          <w:tcPr>
            <w:tcW w:type="dxa" w:w="1928"/>
            <w:vAlign w:val="center"/>
            <w:tcBorders>
              <w:top w:val="single" w:sz="12" w:space="0" w:color="auto"/>
              <w:bottom w:val="single" w:sz="6" w:space="0" w:color="auto"/>
            </w:tcBorders>
          </w:tcPr>
          <w:p>
            <w:pPr>
              <w:keepNext/>
              <w:spacing w:line="240" w:lineRule="auto"/>
              <w:jc w:val="center"/>
            </w:pPr>
            <w:r>
              <w:rPr>
                <w:sz w:val="18"/>
              </w:rPr>
              <w:t xml:space="preserve">Independent </w:t>
            </w:r>
            <w:r>
              <w:rPr>
                <w:i/>
                <w:sz w:val="18"/>
              </w:rPr>
              <w:t>U</w:t>
            </w:r>
          </w:p>
        </w:tc>
        <w:tc>
          <w:tcPr>
            <w:tcW w:type="dxa" w:w="2268"/>
            <w:vAlign w:val="center"/>
            <w:tcBorders>
              <w:top w:val="single" w:sz="12" w:space="0" w:color="auto"/>
              <w:bottom w:val="single" w:sz="6" w:space="0" w:color="auto"/>
            </w:tcBorders>
          </w:tcPr>
          <w:p>
            <w:pPr>
              <w:keepNext/>
              <w:spacing w:line="240" w:lineRule="auto"/>
              <w:jc w:val="center"/>
            </w:pPr>
            <w:r>
              <w:rPr>
                <w:sz w:val="18"/>
              </w:rPr>
              <w:t>Var(</w:t>
            </w:r>
            <w:r>
              <w:rPr>
                <w:i/>
                <w:sz w:val="18"/>
              </w:rPr>
              <w:t>Ā</w:t>
            </w:r>
            <w:r>
              <w:rPr>
                <w:sz w:val="18"/>
                <w:vertAlign w:val="subscript"/>
              </w:rPr>
              <w:t>32</w:t>
            </w:r>
            <w:r>
              <w:rPr>
                <w:sz w:val="18"/>
              </w:rPr>
              <w:t>)</w:t>
            </w:r>
          </w:p>
        </w:tc>
      </w:tr>
      <w:tr>
        <w:tc>
          <w:tcPr>
            <w:tcW w:type="dxa" w:w="2041"/>
            <w:vAlign w:val="center"/>
          </w:tcPr>
          <w:p>
            <w:pPr>
              <w:keepNext/>
              <w:spacing w:line="240" w:lineRule="auto"/>
              <w:jc w:val="center"/>
            </w:pPr>
            <w:r>
              <w:rPr>
                <w:sz w:val="18"/>
              </w:rPr>
              <w:t>Information bound</w:t>
            </w:r>
          </w:p>
        </w:tc>
        <w:tc>
          <w:tcPr>
            <w:tcW w:type="dxa" w:w="2041"/>
            <w:vAlign w:val="center"/>
          </w:tcPr>
          <w:p>
            <w:pPr>
              <w:keepNext/>
              <w:spacing w:line="240" w:lineRule="auto"/>
              <w:jc w:val="center"/>
            </w:pPr>
            <w:r>
              <w:rPr>
                <w:sz w:val="18"/>
              </w:rPr>
              <w:t>0.131</w:t>
            </w:r>
          </w:p>
        </w:tc>
        <w:tc>
          <w:tcPr>
            <w:tcW w:type="dxa" w:w="1928"/>
            <w:vAlign w:val="center"/>
          </w:tcPr>
          <w:p>
            <w:pPr>
              <w:keepNext/>
              <w:spacing w:line="240" w:lineRule="auto"/>
              <w:jc w:val="center"/>
            </w:pPr>
            <w:r>
              <w:rPr>
                <w:sz w:val="18"/>
              </w:rPr>
              <w:t>0.415</w:t>
            </w:r>
          </w:p>
        </w:tc>
        <w:tc>
          <w:tcPr>
            <w:tcW w:type="dxa" w:w="2268"/>
            <w:vAlign w:val="center"/>
          </w:tcPr>
          <w:p>
            <w:pPr>
              <w:keepNext/>
              <w:spacing w:line="240" w:lineRule="auto"/>
              <w:jc w:val="center"/>
            </w:pPr>
            <w:r>
              <w:rPr>
                <w:sz w:val="18"/>
              </w:rPr>
              <w:t>0.144</w:t>
            </w:r>
          </w:p>
        </w:tc>
      </w:tr>
      <w:tr>
        <w:tc>
          <w:tcPr>
            <w:tcW w:type="dxa" w:w="2041"/>
            <w:vAlign w:val="center"/>
          </w:tcPr>
          <w:p>
            <w:pPr>
              <w:keepNext/>
              <w:spacing w:line="240" w:lineRule="auto"/>
              <w:jc w:val="center"/>
            </w:pPr>
            <w:r>
              <w:rPr>
                <w:sz w:val="18"/>
              </w:rPr>
              <w:t>Fixed-weight</w:t>
            </w:r>
          </w:p>
        </w:tc>
        <w:tc>
          <w:tcPr>
            <w:tcW w:type="dxa" w:w="2041"/>
            <w:vAlign w:val="center"/>
          </w:tcPr>
          <w:p>
            <w:pPr>
              <w:keepNext/>
              <w:spacing w:line="240" w:lineRule="auto"/>
              <w:jc w:val="center"/>
            </w:pPr>
            <w:r>
              <w:rPr>
                <w:sz w:val="18"/>
              </w:rPr>
              <w:t>0.087</w:t>
            </w:r>
          </w:p>
        </w:tc>
        <w:tc>
          <w:tcPr>
            <w:tcW w:type="dxa" w:w="1928"/>
            <w:vAlign w:val="center"/>
          </w:tcPr>
          <w:p>
            <w:pPr>
              <w:keepNext/>
              <w:spacing w:line="240" w:lineRule="auto"/>
              <w:jc w:val="center"/>
            </w:pPr>
            <w:r>
              <w:rPr>
                <w:sz w:val="18"/>
              </w:rPr>
              <w:t>0.277</w:t>
            </w:r>
          </w:p>
        </w:tc>
        <w:tc>
          <w:tcPr>
            <w:tcW w:type="dxa" w:w="2268"/>
            <w:vAlign w:val="center"/>
          </w:tcPr>
          <w:p>
            <w:pPr>
              <w:keepNext/>
              <w:spacing w:line="240" w:lineRule="auto"/>
              <w:jc w:val="center"/>
            </w:pPr>
            <w:r>
              <w:rPr>
                <w:sz w:val="18"/>
              </w:rPr>
              <w:t>0.096</w:t>
            </w:r>
          </w:p>
        </w:tc>
      </w:tr>
      <w:tr>
        <w:tc>
          <w:tcPr>
            <w:tcW w:type="dxa" w:w="2041"/>
            <w:vAlign w:val="center"/>
          </w:tcPr>
          <w:p>
            <w:pPr>
              <w:keepNext/>
              <w:spacing w:line="240" w:lineRule="auto"/>
              <w:jc w:val="center"/>
            </w:pPr>
            <w:r>
              <w:rPr>
                <w:sz w:val="18"/>
              </w:rPr>
              <w:t>Complete</w:t>
            </w:r>
          </w:p>
        </w:tc>
        <w:tc>
          <w:tcPr>
            <w:tcW w:type="dxa" w:w="2041"/>
            <w:vAlign w:val="center"/>
          </w:tcPr>
          <w:p>
            <w:pPr>
              <w:keepNext/>
              <w:spacing w:line="240" w:lineRule="auto"/>
              <w:jc w:val="center"/>
            </w:pPr>
            <w:r>
              <w:rPr>
                <w:sz w:val="18"/>
              </w:rPr>
              <w:t>0.207</w:t>
            </w:r>
          </w:p>
        </w:tc>
        <w:tc>
          <w:tcPr>
            <w:tcW w:type="dxa" w:w="1928"/>
            <w:vAlign w:val="center"/>
          </w:tcPr>
          <w:p>
            <w:pPr>
              <w:keepNext/>
              <w:spacing w:line="240" w:lineRule="auto"/>
              <w:jc w:val="center"/>
            </w:pPr>
            <w:r>
              <w:rPr>
                <w:sz w:val="18"/>
              </w:rPr>
              <w:t>0.547</w:t>
            </w:r>
          </w:p>
        </w:tc>
        <w:tc>
          <w:tcPr>
            <w:tcW w:type="dxa" w:w="2268"/>
            <w:vAlign w:val="center"/>
          </w:tcPr>
          <w:p>
            <w:pPr>
              <w:keepNext/>
              <w:spacing w:line="240" w:lineRule="auto"/>
              <w:jc w:val="center"/>
            </w:pPr>
            <w:r>
              <w:rPr>
                <w:sz w:val="18"/>
              </w:rPr>
              <w:t>0.224</w:t>
            </w:r>
          </w:p>
        </w:tc>
      </w:tr>
      <w:tr>
        <w:tc>
          <w:tcPr>
            <w:tcW w:type="dxa" w:w="2041"/>
            <w:vAlign w:val="center"/>
            <w:tcBorders>
              <w:bottom w:val="single" w:sz="12" w:space="0" w:color="auto"/>
            </w:tcBorders>
          </w:tcPr>
          <w:p>
            <w:pPr>
              <w:keepNext w:val="0"/>
              <w:spacing w:line="240" w:lineRule="auto"/>
              <w:jc w:val="center"/>
            </w:pPr>
            <w:r>
              <w:rPr>
                <w:sz w:val="18"/>
              </w:rPr>
              <w:t>Simulation</w:t>
            </w:r>
          </w:p>
        </w:tc>
        <w:tc>
          <w:tcPr>
            <w:tcW w:type="dxa" w:w="2041"/>
            <w:vAlign w:val="center"/>
            <w:tcBorders>
              <w:bottom w:val="single" w:sz="12" w:space="0" w:color="auto"/>
            </w:tcBorders>
          </w:tcPr>
          <w:p>
            <w:pPr>
              <w:keepNext w:val="0"/>
              <w:spacing w:line="240" w:lineRule="auto"/>
              <w:jc w:val="center"/>
            </w:pPr>
            <w:r>
              <w:rPr>
                <w:sz w:val="18"/>
              </w:rPr>
              <w:t>0.212 (0.199–0.227)</w:t>
            </w:r>
          </w:p>
        </w:tc>
        <w:tc>
          <w:tcPr>
            <w:tcW w:type="dxa" w:w="1928"/>
            <w:vAlign w:val="center"/>
            <w:tcBorders>
              <w:bottom w:val="single" w:sz="12" w:space="0" w:color="auto"/>
            </w:tcBorders>
          </w:tcPr>
          <w:p>
            <w:pPr>
              <w:keepNext w:val="0"/>
              <w:spacing w:line="240" w:lineRule="auto"/>
              <w:jc w:val="center"/>
            </w:pPr>
            <w:r>
              <w:rPr>
                <w:sz w:val="18"/>
              </w:rPr>
              <w:t>0.543</w:t>
            </w:r>
          </w:p>
        </w:tc>
        <w:tc>
          <w:tcPr>
            <w:tcW w:type="dxa" w:w="2268"/>
            <w:vAlign w:val="center"/>
            <w:tcBorders>
              <w:bottom w:val="single" w:sz="12" w:space="0" w:color="auto"/>
            </w:tcBorders>
          </w:tcPr>
          <w:p>
            <w:pPr>
              <w:keepNext w:val="0"/>
              <w:spacing w:line="240" w:lineRule="auto"/>
              <w:jc w:val="center"/>
            </w:pPr>
            <w:r>
              <w:rPr>
                <w:sz w:val="18"/>
              </w:rPr>
              <w:t>0.229 (0.214–0.243)</w:t>
            </w:r>
          </w:p>
        </w:tc>
      </w:tr>
    </w:tbl>
    <w:p>
      <w:pPr>
        <w:spacing w:line="480" w:lineRule="auto"/>
        <w:jc w:val="both"/>
      </w:pPr>
    </w:p>
    <w:p>
      <w:pPr>
        <w:spacing w:line="480" w:lineRule="auto"/>
        <w:ind w:firstLine="420"/>
        <w:jc w:val="both"/>
      </w:pPr>
      <w:r>
        <w:rPr/>
        <w:t xml:space="preserve">Figure 2 shows the variance as a function of </w:t>
      </w:r>
      <w:r>
        <w:rPr>
          <w:i/>
        </w:rPr>
        <w:t>n</w:t>
      </w:r>
      <w:r>
        <w:rPr/>
        <w:t xml:space="preserve">. At </w:t>
      </w:r>
      <w:r>
        <w:rPr>
          <w:i/>
        </w:rPr>
        <w:t>M</w:t>
      </w:r>
      <w:r>
        <w:rPr/>
        <w:t xml:space="preserve"> = 2</w:t>
      </w:r>
      <w:r>
        <w:rPr/>
        <w:t xml:space="preserve"> the simulated variance levels off at the shared term predicted by Equation (12), while the fixed-weight prediction stays below the bound and the independence assumption keeps decreasing as </w:t>
      </w:r>
      <w:r>
        <w:rPr/>
        <w:t>1/</w:t>
      </w:r>
      <w:r>
        <w:rPr>
          <w:i/>
        </w:rPr>
        <w:t>n</w:t>
      </w:r>
      <w:r>
        <w:rPr/>
        <w:t xml:space="preserve">. At </w:t>
      </w:r>
      <w:r>
        <w:rPr>
          <w:i/>
        </w:rPr>
        <w:t>M</w:t>
      </w:r>
      <w:r>
        <w:rPr/>
        <w:t xml:space="preserve"> = 64</w:t>
      </w:r>
      <w:r>
        <w:rPr/>
        <w:t xml:space="preserve"> the shared term is small and all predictions except the independence assumption agree. Over the 16 conditions, the predicted shared term lies inside the 95% interval of the simulated shared covariance in 16 conditions, and the predicted variance of </w:t>
      </w:r>
      <w:r>
        <w:rPr>
          <w:i/>
        </w:rPr>
        <w:t>Ā</w:t>
      </w:r>
      <w:r>
        <w:rPr>
          <w:i/>
          <w:vertAlign w:val="subscript"/>
        </w:rPr>
        <w:t>n</w:t>
      </w:r>
      <w:r>
        <w:rPr/>
        <w:t xml:space="preserve"> lies inside the 95% interval of the simulated variance in 64 of 64 combinations of condition and </w:t>
      </w:r>
      <w:r>
        <w:rPr>
          <w:i/>
        </w:rPr>
        <w:t>n</w:t>
      </w:r>
      <w:r>
        <w:rPr/>
        <w:t>.</w:t>
      </w:r>
    </w:p>
    <w:p>
      <w:pPr>
        <w:keepNext/>
        <w:snapToGrid w:val="0"/>
        <w:spacing w:line="480" w:lineRule="auto"/>
        <w:jc w:val="center"/>
      </w:pPr>
      <w:r>
        <w:drawing>
          <wp:inline xmlns:a="http://schemas.openxmlformats.org/drawingml/2006/main" xmlns:pic="http://schemas.openxmlformats.org/drawingml/2006/picture">
            <wp:extent cx="5256000" cy="2137271"/>
            <wp:docPr id="17" name="Picture 17"/>
            <wp:cNvGraphicFramePr>
              <a:graphicFrameLocks noChangeAspect="1"/>
            </wp:cNvGraphicFramePr>
            <a:graphic>
              <a:graphicData uri="http://schemas.openxmlformats.org/drawingml/2006/picture">
                <pic:pic>
                  <pic:nvPicPr>
                    <pic:cNvPr id="0" name="fig2_variance.png"/>
                    <pic:cNvPicPr/>
                  </pic:nvPicPr>
                  <pic:blipFill>
                    <a:blip r:embed="rId23"/>
                    <a:stretch>
                      <a:fillRect/>
                    </a:stretch>
                  </pic:blipFill>
                  <pic:spPr>
                    <a:xfrm>
                      <a:off x="0" y="0"/>
                      <a:ext cx="5256000" cy="2137271"/>
                    </a:xfrm>
                    <a:prstGeom prst="rect"/>
                  </pic:spPr>
                </pic:pic>
              </a:graphicData>
            </a:graphic>
          </wp:inline>
        </w:drawing>
      </w:r>
    </w:p>
    <w:p>
      <w:pPr>
        <w:keepNext w:val="0"/>
        <w:keepLines/>
        <w:spacing w:line="480" w:lineRule="auto"/>
        <w:jc w:val="center"/>
      </w:pPr>
      <w:r>
        <w:rPr/>
        <w:t xml:space="preserve">Figure 2. </w:t>
      </w:r>
      <w:r>
        <w:rPr/>
        <w:t xml:space="preserve">Variance of the averaged attenuation at 0 dB versus the number of averaged observations: (a) </w:t>
      </w:r>
      <w:r>
        <w:rPr>
          <w:i/>
        </w:rPr>
        <w:t>M</w:t>
      </w:r>
      <w:r>
        <w:rPr/>
        <w:t xml:space="preserve"> = 2; (b) </w:t>
      </w:r>
      <w:r>
        <w:rPr>
          <w:i/>
        </w:rPr>
        <w:t>M</w:t>
      </w:r>
      <w:r>
        <w:rPr/>
        <w:t xml:space="preserve"> = 64. Points: simulation with 95% intervals.</w:t>
      </w:r>
    </w:p>
    <w:p>
      <w:pPr>
        <w:pStyle w:val="2"/>
        <w:spacing w:line="480" w:lineRule="auto"/>
      </w:pPr>
      <w:r>
        <w:rPr/>
        <w:t>3.3 Shared component and operating regime</w:t>
      </w:r>
    </w:p>
    <w:p>
      <w:pPr>
        <w:spacing w:line="480" w:lineRule="auto"/>
        <w:ind w:firstLine="420"/>
        <w:jc w:val="both"/>
      </w:pPr>
      <w:r>
        <w:rPr/>
        <w:t xml:space="preserve">Figure 3(a) places all conditions on a common axis. The shared variance of the profile estimator exceeds the bound by the factor </w:t>
      </w:r>
      <w:r>
        <w:rPr/>
        <w:t>1 + 2</w:t>
      </w:r>
      <w:r>
        <w:rPr>
          <w:i/>
        </w:rPr>
        <w:t>γ</w:t>
      </w:r>
      <w:r>
        <w:rPr>
          <w:vertAlign w:val="subscript"/>
        </w:rPr>
        <w:t>r</w:t>
      </w:r>
      <w:r>
        <w:rPr/>
        <w:t>/(</w:t>
      </w:r>
      <w:r>
        <w:rPr>
          <w:i/>
        </w:rPr>
        <w:t>γ</w:t>
      </w:r>
      <w:r>
        <w:rPr>
          <w:vertAlign w:val="subscript"/>
        </w:rPr>
        <w:t>r</w:t>
      </w:r>
      <w:r>
        <w:rPr/>
        <w:t xml:space="preserve"> + </w:t>
      </w:r>
      <w:r>
        <w:rPr>
          <w:i/>
        </w:rPr>
        <w:t>γ</w:t>
      </w:r>
      <w:r>
        <w:rPr>
          <w:vertAlign w:val="subscript"/>
        </w:rPr>
        <w:t>t</w:t>
      </w:r>
      <w:r>
        <w:rPr/>
        <w:t>)</w:t>
      </w:r>
      <w:r>
        <w:rPr>
          <w:vertAlign w:val="superscript"/>
        </w:rPr>
        <w:t>2</w:t>
      </w:r>
      <w:r>
        <w:rPr/>
        <w:t xml:space="preserve">, and the fixed-weight linearisation falls below it by the factor </w:t>
      </w:r>
      <w:r>
        <w:rPr>
          <w:i/>
        </w:rPr>
        <w:t>γ</w:t>
      </w:r>
      <w:r>
        <w:rPr>
          <w:vertAlign w:val="subscript"/>
        </w:rPr>
        <w:t>r</w:t>
      </w:r>
      <w:r>
        <w:rPr/>
        <w:t>/(</w:t>
      </w:r>
      <w:r>
        <w:rPr>
          <w:i/>
        </w:rPr>
        <w:t>γ</w:t>
      </w:r>
      <w:r>
        <w:rPr>
          <w:vertAlign w:val="subscript"/>
        </w:rPr>
        <w:t>r</w:t>
      </w:r>
      <w:r>
        <w:rPr/>
        <w:t xml:space="preserve"> + 1)</w:t>
      </w:r>
      <w:r>
        <w:rPr/>
        <w:t xml:space="preserve">; at the main condition the two ratios are 1.58 and 0.67. Both deviations vanish as </w:t>
      </w:r>
      <w:r>
        <w:rPr>
          <w:i/>
        </w:rPr>
        <w:t>γ</w:t>
      </w:r>
      <w:r>
        <w:rPr>
          <w:vertAlign w:val="subscript"/>
        </w:rPr>
        <w:t>r</w:t>
      </w:r>
      <w:r>
        <w:rPr/>
        <w:t xml:space="preserve"> grows, so the noise-energy terms matter only for short references or low SNR. Figure 3(b) maps the shared fraction of Equation (7): it reaches 91% at the main condition with </w:t>
      </w:r>
      <w:r>
        <w:rPr>
          <w:i/>
        </w:rPr>
        <w:t>n</w:t>
      </w:r>
      <w:r>
        <w:rPr/>
        <w:t xml:space="preserve"> = 32 and drops to 24% for </w:t>
      </w:r>
      <w:r>
        <w:rPr>
          <w:i/>
        </w:rPr>
        <w:t>M</w:t>
      </w:r>
      <w:r>
        <w:rPr/>
        <w:t xml:space="preserve"> = 64.</w:t>
      </w:r>
    </w:p>
    <w:p>
      <w:pPr>
        <w:keepNext/>
        <w:snapToGrid w:val="0"/>
        <w:spacing w:line="480" w:lineRule="auto"/>
        <w:jc w:val="center"/>
      </w:pPr>
      <w:r>
        <w:drawing>
          <wp:inline xmlns:a="http://schemas.openxmlformats.org/drawingml/2006/main" xmlns:pic="http://schemas.openxmlformats.org/drawingml/2006/picture">
            <wp:extent cx="5256000" cy="2579613"/>
            <wp:docPr id="18" name="Picture 18"/>
            <wp:cNvGraphicFramePr>
              <a:graphicFrameLocks noChangeAspect="1"/>
            </wp:cNvGraphicFramePr>
            <a:graphic>
              <a:graphicData uri="http://schemas.openxmlformats.org/drawingml/2006/picture">
                <pic:pic>
                  <pic:nvPicPr>
                    <pic:cNvPr id="0" name="fig3_shared.png"/>
                    <pic:cNvPicPr/>
                  </pic:nvPicPr>
                  <pic:blipFill>
                    <a:blip r:embed="rId24"/>
                    <a:stretch>
                      <a:fillRect/>
                    </a:stretch>
                  </pic:blipFill>
                  <pic:spPr>
                    <a:xfrm>
                      <a:off x="0" y="0"/>
                      <a:ext cx="5256000" cy="2579613"/>
                    </a:xfrm>
                    <a:prstGeom prst="rect"/>
                  </pic:spPr>
                </pic:pic>
              </a:graphicData>
            </a:graphic>
          </wp:inline>
        </w:drawing>
      </w:r>
    </w:p>
    <w:p>
      <w:pPr>
        <w:keepNext w:val="0"/>
        <w:keepLines/>
        <w:spacing w:line="480" w:lineRule="auto"/>
        <w:jc w:val="center"/>
      </w:pPr>
      <w:r>
        <w:rPr/>
        <w:t xml:space="preserve">Figure 3. </w:t>
      </w:r>
      <w:r>
        <w:rPr/>
        <w:t>(a) Shared variance relative to the information bound; points: simulation with 95% intervals. (b) Shared fraction of the bound, Equation (7), at 2 dB.</w:t>
      </w:r>
    </w:p>
    <w:p>
      <w:pPr>
        <w:pStyle w:val="2"/>
        <w:spacing w:line="480" w:lineRule="auto"/>
      </w:pPr>
      <w:r>
        <w:rPr/>
        <w:t>3.4 Coverage, width and cost</w:t>
      </w:r>
    </w:p>
    <w:p>
      <w:pPr>
        <w:spacing w:line="480" w:lineRule="auto"/>
        <w:ind w:firstLine="420"/>
        <w:jc w:val="both"/>
      </w:pPr>
      <w:r>
        <w:rPr/>
        <w:t xml:space="preserve">Figure 4 shows the empirical coverage of nominal 95% intervals for </w:t>
      </w:r>
      <w:r>
        <w:rPr>
          <w:i/>
        </w:rPr>
        <w:t>n</w:t>
      </w:r>
      <w:r>
        <w:rPr/>
        <w:t xml:space="preserve"> = 32. The closed-form intervals of Equation (14) cover 94.5–95.4% in all 16 conditions and 93.9–96.0% over all values of </w:t>
      </w:r>
      <w:r>
        <w:rPr>
          <w:i/>
        </w:rPr>
        <w:t>n</w:t>
      </w:r>
      <w:r>
        <w:rPr/>
        <w:t>. The fixed-weight intervals reach only 79.6–94.8% with a two-slot reference, and ignoring the shared covariance leaves the coverage as low as 34.8%. The parametric bootstrap covers 94.0–95.2%.</w:t>
      </w:r>
    </w:p>
    <w:p>
      <w:pPr>
        <w:keepNext/>
        <w:snapToGrid w:val="0"/>
        <w:spacing w:line="480" w:lineRule="auto"/>
        <w:jc w:val="center"/>
      </w:pPr>
      <w:r>
        <w:drawing>
          <wp:inline xmlns:a="http://schemas.openxmlformats.org/drawingml/2006/main" xmlns:pic="http://schemas.openxmlformats.org/drawingml/2006/picture">
            <wp:extent cx="5256000" cy="1936037"/>
            <wp:docPr id="19" name="Picture 19"/>
            <wp:cNvGraphicFramePr>
              <a:graphicFrameLocks noChangeAspect="1"/>
            </wp:cNvGraphicFramePr>
            <a:graphic>
              <a:graphicData uri="http://schemas.openxmlformats.org/drawingml/2006/picture">
                <pic:pic>
                  <pic:nvPicPr>
                    <pic:cNvPr id="0" name="fig4_coverage.png"/>
                    <pic:cNvPicPr/>
                  </pic:nvPicPr>
                  <pic:blipFill>
                    <a:blip r:embed="rId25"/>
                    <a:stretch>
                      <a:fillRect/>
                    </a:stretch>
                  </pic:blipFill>
                  <pic:spPr>
                    <a:xfrm>
                      <a:off x="0" y="0"/>
                      <a:ext cx="5256000" cy="1936037"/>
                    </a:xfrm>
                    <a:prstGeom prst="rect"/>
                  </pic:spPr>
                </pic:pic>
              </a:graphicData>
            </a:graphic>
          </wp:inline>
        </w:drawing>
      </w:r>
    </w:p>
    <w:p>
      <w:pPr>
        <w:keepNext w:val="0"/>
        <w:keepLines/>
        <w:spacing w:line="480" w:lineRule="auto"/>
        <w:jc w:val="center"/>
      </w:pPr>
      <w:r>
        <w:rPr/>
        <w:t xml:space="preserve">Figure 4. </w:t>
      </w:r>
      <w:r>
        <w:rPr/>
        <w:t xml:space="preserve">Empirical coverage (%) of nominal 95% intervals for </w:t>
      </w:r>
      <w:r>
        <w:rPr>
          <w:i/>
        </w:rPr>
        <w:t>n</w:t>
      </w:r>
      <w:r>
        <w:rPr/>
        <w:t xml:space="preserve"> = 32 in the 16 conditions (2000 references each).</w:t>
      </w:r>
    </w:p>
    <w:p>
      <w:pPr>
        <w:spacing w:line="480" w:lineRule="auto"/>
        <w:ind w:firstLine="420"/>
        <w:jc w:val="both"/>
      </w:pPr>
      <w:r>
        <w:rPr/>
        <w:t xml:space="preserve">Table 3 and Figure 5 detail the main condition. The closed-form interval covers 1889 of 2000 cases (94.5%), against 1592 (79.6%) for the fixed-weight linearisation; in paired comparison, 297 cases are covered only by the closed form and 0 only by the linearisation (exact McNemar test, </w:t>
      </w:r>
      <w:r>
        <w:rPr>
          <w:i/>
        </w:rPr>
        <w:t>p</w:t>
      </w:r>
      <w:r>
        <w:rPr/>
        <w:t xml:space="preserve"> = </w:t>
      </w:r>
      <w:r>
        <w:rPr/>
        <w:t>7.9 × 10</w:t>
      </w:r>
      <w:r>
        <w:rPr>
          <w:vertAlign w:val="superscript"/>
        </w:rPr>
        <w:t>−90</w:t>
      </w:r>
      <w:r>
        <w:rPr/>
        <w:t>). The closed form and the bootstrap do not differ significantly (</w:t>
      </w:r>
      <w:r>
        <w:rPr>
          <w:i/>
        </w:rPr>
        <w:t>p</w:t>
      </w:r>
      <w:r>
        <w:rPr/>
        <w:t xml:space="preserve"> = 0.185), and their mean widths are nearly equal (1.86 and 1.85 dB). The closed-form coverage deviates from the nominal level by at most 1.4 percentage points between 50% and 95% (Figure 5(a)). The width of the closed-form interval exceeds that of the fixed-weight interval by 53%, which is the variance the linearisation omits. When the attenuation increases linearly from 1 to 3 dB over the 32 observations, the closed-form coverage stays within 94.3–94.9% for all </w:t>
      </w:r>
      <w:r>
        <w:rPr>
          <w:i/>
        </w:rPr>
        <w:t>n</w:t>
      </w:r>
      <w:r>
        <w:rPr/>
        <w:t xml:space="preserve">, against 78.6% for the fixed-weight linearisation at </w:t>
      </w:r>
      <w:r>
        <w:rPr>
          <w:i/>
        </w:rPr>
        <w:t>n</w:t>
      </w:r>
      <w:r>
        <w:rPr/>
        <w:t xml:space="preserve"> = 32. Computing the closed-form interval takes 0.04 ms per window, less than the fixed-weight linearisation (0.18 ms), whereas the bootstrap takes 135.9 ms, about 3300 times longer.</w:t>
      </w:r>
    </w:p>
    <w:p>
      <w:pPr>
        <w:keepNext/>
        <w:keepLines/>
        <w:spacing w:line="480" w:lineRule="auto"/>
        <w:jc w:val="center"/>
      </w:pPr>
      <w:r>
        <w:rPr/>
        <w:t xml:space="preserve">Table 3. </w:t>
      </w:r>
      <w:r>
        <w:rPr/>
        <w:t xml:space="preserve">Nominal 95% intervals at the main condition (0 dB, </w:t>
      </w:r>
      <w:r>
        <w:rPr>
          <w:i/>
        </w:rPr>
        <w:t>M</w:t>
      </w:r>
      <w:r>
        <w:rPr/>
        <w:t xml:space="preserve"> = 2, </w:t>
      </w:r>
      <w:r>
        <w:rPr>
          <w:i/>
        </w:rPr>
        <w:t>n</w:t>
      </w:r>
      <w:r>
        <w:rPr/>
        <w:t xml:space="preserve"> = 32, 2000 references).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81"/>
        <w:gridCol w:w="1247"/>
        <w:gridCol w:w="2154"/>
        <w:gridCol w:w="1247"/>
        <w:gridCol w:w="1247"/>
      </w:tblGrid>
      <w:tr>
        <w:tc>
          <w:tcPr>
            <w:tcW w:type="dxa" w:w="2381"/>
            <w:vAlign w:val="center"/>
            <w:tcBorders>
              <w:top w:val="single" w:sz="12" w:space="0" w:color="auto"/>
              <w:bottom w:val="single" w:sz="6" w:space="0" w:color="auto"/>
            </w:tcBorders>
          </w:tcPr>
          <w:p>
            <w:pPr>
              <w:keepNext/>
              <w:spacing w:line="240" w:lineRule="auto"/>
              <w:jc w:val="center"/>
            </w:pPr>
            <w:r>
              <w:rPr>
                <w:sz w:val="18"/>
              </w:rPr>
              <w:t>Method</w:t>
            </w:r>
          </w:p>
        </w:tc>
        <w:tc>
          <w:tcPr>
            <w:tcW w:type="dxa" w:w="1247"/>
            <w:vAlign w:val="center"/>
            <w:tcBorders>
              <w:top w:val="single" w:sz="12" w:space="0" w:color="auto"/>
              <w:bottom w:val="single" w:sz="6" w:space="0" w:color="auto"/>
            </w:tcBorders>
          </w:tcPr>
          <w:p>
            <w:pPr>
              <w:keepNext/>
              <w:spacing w:line="240" w:lineRule="auto"/>
              <w:jc w:val="center"/>
            </w:pPr>
            <w:r>
              <w:rPr>
                <w:sz w:val="18"/>
              </w:rPr>
              <w:t>Covered</w:t>
            </w:r>
          </w:p>
        </w:tc>
        <w:tc>
          <w:tcPr>
            <w:tcW w:type="dxa" w:w="2154"/>
            <w:vAlign w:val="center"/>
            <w:tcBorders>
              <w:top w:val="single" w:sz="12" w:space="0" w:color="auto"/>
              <w:bottom w:val="single" w:sz="6" w:space="0" w:color="auto"/>
            </w:tcBorders>
          </w:tcPr>
          <w:p>
            <w:pPr>
              <w:keepNext/>
              <w:spacing w:line="240" w:lineRule="auto"/>
              <w:jc w:val="center"/>
            </w:pPr>
            <w:r>
              <w:rPr>
                <w:sz w:val="18"/>
              </w:rPr>
              <w:t>Coverage, % (95% CI)</w:t>
            </w:r>
          </w:p>
        </w:tc>
        <w:tc>
          <w:tcPr>
            <w:tcW w:type="dxa" w:w="1247"/>
            <w:vAlign w:val="center"/>
            <w:tcBorders>
              <w:top w:val="single" w:sz="12" w:space="0" w:color="auto"/>
              <w:bottom w:val="single" w:sz="6" w:space="0" w:color="auto"/>
            </w:tcBorders>
          </w:tcPr>
          <w:p>
            <w:pPr>
              <w:keepNext/>
              <w:spacing w:line="240" w:lineRule="auto"/>
              <w:jc w:val="center"/>
            </w:pPr>
            <w:r>
              <w:rPr>
                <w:sz w:val="18"/>
              </w:rPr>
              <w:t>Width (dB)</w:t>
            </w:r>
          </w:p>
        </w:tc>
        <w:tc>
          <w:tcPr>
            <w:tcW w:type="dxa" w:w="1247"/>
            <w:vAlign w:val="center"/>
            <w:tcBorders>
              <w:top w:val="single" w:sz="12" w:space="0" w:color="auto"/>
              <w:bottom w:val="single" w:sz="6" w:space="0" w:color="auto"/>
            </w:tcBorders>
          </w:tcPr>
          <w:p>
            <w:pPr>
              <w:keepNext/>
              <w:spacing w:line="240" w:lineRule="auto"/>
              <w:jc w:val="center"/>
            </w:pPr>
            <w:r>
              <w:rPr>
                <w:sz w:val="18"/>
              </w:rPr>
              <w:t>Time (ms)</w:t>
            </w:r>
          </w:p>
        </w:tc>
      </w:tr>
      <w:tr>
        <w:tc>
          <w:tcPr>
            <w:tcW w:type="dxa" w:w="2381"/>
            <w:vAlign w:val="center"/>
          </w:tcPr>
          <w:p>
            <w:pPr>
              <w:keepNext/>
              <w:spacing w:line="240" w:lineRule="auto"/>
              <w:jc w:val="center"/>
            </w:pPr>
            <w:r>
              <w:rPr>
                <w:sz w:val="18"/>
              </w:rPr>
              <w:t>Independent (wrong)</w:t>
            </w:r>
          </w:p>
        </w:tc>
        <w:tc>
          <w:tcPr>
            <w:tcW w:type="dxa" w:w="1247"/>
            <w:vAlign w:val="center"/>
          </w:tcPr>
          <w:p>
            <w:pPr>
              <w:keepNext/>
              <w:spacing w:line="240" w:lineRule="auto"/>
              <w:jc w:val="center"/>
            </w:pPr>
            <w:r>
              <w:rPr>
                <w:sz w:val="18"/>
              </w:rPr>
              <w:t>697</w:t>
            </w:r>
          </w:p>
        </w:tc>
        <w:tc>
          <w:tcPr>
            <w:tcW w:type="dxa" w:w="2154"/>
            <w:vAlign w:val="center"/>
          </w:tcPr>
          <w:p>
            <w:pPr>
              <w:keepNext/>
              <w:spacing w:line="240" w:lineRule="auto"/>
              <w:jc w:val="center"/>
            </w:pPr>
            <w:r>
              <w:rPr>
                <w:sz w:val="18"/>
              </w:rPr>
              <w:t>34.8 (32.8–37.0)</w:t>
            </w:r>
          </w:p>
        </w:tc>
        <w:tc>
          <w:tcPr>
            <w:tcW w:type="dxa" w:w="1247"/>
            <w:vAlign w:val="center"/>
          </w:tcPr>
          <w:p>
            <w:pPr>
              <w:keepNext/>
              <w:spacing w:line="240" w:lineRule="auto"/>
              <w:jc w:val="center"/>
            </w:pPr>
            <w:r>
              <w:rPr>
                <w:sz w:val="18"/>
              </w:rPr>
              <w:t>0.42</w:t>
            </w:r>
          </w:p>
        </w:tc>
        <w:tc>
          <w:tcPr>
            <w:tcW w:type="dxa" w:w="1247"/>
            <w:vAlign w:val="center"/>
          </w:tcPr>
          <w:p>
            <w:pPr>
              <w:keepNext/>
              <w:spacing w:line="240" w:lineRule="auto"/>
              <w:jc w:val="center"/>
            </w:pPr>
            <w:r>
              <w:rPr>
                <w:sz w:val="18"/>
              </w:rPr>
              <w:t>0.18</w:t>
            </w:r>
          </w:p>
        </w:tc>
      </w:tr>
      <w:tr>
        <w:tc>
          <w:tcPr>
            <w:tcW w:type="dxa" w:w="2381"/>
            <w:vAlign w:val="center"/>
          </w:tcPr>
          <w:p>
            <w:pPr>
              <w:keepNext/>
              <w:spacing w:line="240" w:lineRule="auto"/>
              <w:jc w:val="center"/>
            </w:pPr>
            <w:r>
              <w:rPr>
                <w:sz w:val="18"/>
              </w:rPr>
              <w:t>Fixed-weight</w:t>
            </w:r>
          </w:p>
        </w:tc>
        <w:tc>
          <w:tcPr>
            <w:tcW w:type="dxa" w:w="1247"/>
            <w:vAlign w:val="center"/>
          </w:tcPr>
          <w:p>
            <w:pPr>
              <w:keepNext/>
              <w:spacing w:line="240" w:lineRule="auto"/>
              <w:jc w:val="center"/>
            </w:pPr>
            <w:r>
              <w:rPr>
                <w:sz w:val="18"/>
              </w:rPr>
              <w:t>1592</w:t>
            </w:r>
          </w:p>
        </w:tc>
        <w:tc>
          <w:tcPr>
            <w:tcW w:type="dxa" w:w="2154"/>
            <w:vAlign w:val="center"/>
          </w:tcPr>
          <w:p>
            <w:pPr>
              <w:keepNext/>
              <w:spacing w:line="240" w:lineRule="auto"/>
              <w:jc w:val="center"/>
            </w:pPr>
            <w:r>
              <w:rPr>
                <w:sz w:val="18"/>
              </w:rPr>
              <w:t>79.6 (77.8–81.3)</w:t>
            </w:r>
          </w:p>
        </w:tc>
        <w:tc>
          <w:tcPr>
            <w:tcW w:type="dxa" w:w="1247"/>
            <w:vAlign w:val="center"/>
          </w:tcPr>
          <w:p>
            <w:pPr>
              <w:keepNext/>
              <w:spacing w:line="240" w:lineRule="auto"/>
              <w:jc w:val="center"/>
            </w:pPr>
            <w:r>
              <w:rPr>
                <w:sz w:val="18"/>
              </w:rPr>
              <w:t>1.22</w:t>
            </w:r>
          </w:p>
        </w:tc>
        <w:tc>
          <w:tcPr>
            <w:tcW w:type="dxa" w:w="1247"/>
            <w:vAlign w:val="center"/>
          </w:tcPr>
          <w:p>
            <w:pPr>
              <w:keepNext/>
              <w:spacing w:line="240" w:lineRule="auto"/>
              <w:jc w:val="center"/>
            </w:pPr>
            <w:r>
              <w:rPr>
                <w:sz w:val="18"/>
              </w:rPr>
              <w:t>0.18</w:t>
            </w:r>
          </w:p>
        </w:tc>
      </w:tr>
      <w:tr>
        <w:tc>
          <w:tcPr>
            <w:tcW w:type="dxa" w:w="2381"/>
            <w:vAlign w:val="center"/>
          </w:tcPr>
          <w:p>
            <w:pPr>
              <w:keepNext/>
              <w:spacing w:line="240" w:lineRule="auto"/>
              <w:jc w:val="center"/>
            </w:pPr>
            <w:r>
              <w:rPr>
                <w:sz w:val="18"/>
              </w:rPr>
              <w:t>Complete (closed form)</w:t>
            </w:r>
          </w:p>
        </w:tc>
        <w:tc>
          <w:tcPr>
            <w:tcW w:type="dxa" w:w="1247"/>
            <w:vAlign w:val="center"/>
          </w:tcPr>
          <w:p>
            <w:pPr>
              <w:keepNext/>
              <w:spacing w:line="240" w:lineRule="auto"/>
              <w:jc w:val="center"/>
            </w:pPr>
            <w:r>
              <w:rPr>
                <w:sz w:val="18"/>
              </w:rPr>
              <w:t>1889</w:t>
            </w:r>
          </w:p>
        </w:tc>
        <w:tc>
          <w:tcPr>
            <w:tcW w:type="dxa" w:w="2154"/>
            <w:vAlign w:val="center"/>
          </w:tcPr>
          <w:p>
            <w:pPr>
              <w:keepNext/>
              <w:spacing w:line="240" w:lineRule="auto"/>
              <w:jc w:val="center"/>
            </w:pPr>
            <w:r>
              <w:rPr>
                <w:sz w:val="18"/>
              </w:rPr>
              <w:t>94.5 (93.4–95.4)</w:t>
            </w:r>
          </w:p>
        </w:tc>
        <w:tc>
          <w:tcPr>
            <w:tcW w:type="dxa" w:w="1247"/>
            <w:vAlign w:val="center"/>
          </w:tcPr>
          <w:p>
            <w:pPr>
              <w:keepNext/>
              <w:spacing w:line="240" w:lineRule="auto"/>
              <w:jc w:val="center"/>
            </w:pPr>
            <w:r>
              <w:rPr>
                <w:sz w:val="18"/>
              </w:rPr>
              <w:t>1.86</w:t>
            </w:r>
          </w:p>
        </w:tc>
        <w:tc>
          <w:tcPr>
            <w:tcW w:type="dxa" w:w="1247"/>
            <w:vAlign w:val="center"/>
          </w:tcPr>
          <w:p>
            <w:pPr>
              <w:keepNext/>
              <w:spacing w:line="240" w:lineRule="auto"/>
              <w:jc w:val="center"/>
            </w:pPr>
            <w:r>
              <w:rPr>
                <w:sz w:val="18"/>
              </w:rPr>
              <w:t>0.04</w:t>
            </w:r>
          </w:p>
        </w:tc>
      </w:tr>
      <w:tr>
        <w:tc>
          <w:tcPr>
            <w:tcW w:type="dxa" w:w="2381"/>
            <w:vAlign w:val="center"/>
            <w:tcBorders>
              <w:bottom w:val="single" w:sz="12" w:space="0" w:color="auto"/>
            </w:tcBorders>
          </w:tcPr>
          <w:p>
            <w:pPr>
              <w:keepNext w:val="0"/>
              <w:spacing w:line="240" w:lineRule="auto"/>
              <w:jc w:val="center"/>
            </w:pPr>
            <w:r>
              <w:rPr>
                <w:sz w:val="18"/>
              </w:rPr>
              <w:t>Parametric bootstrap</w:t>
            </w:r>
          </w:p>
        </w:tc>
        <w:tc>
          <w:tcPr>
            <w:tcW w:type="dxa" w:w="1247"/>
            <w:vAlign w:val="center"/>
            <w:tcBorders>
              <w:bottom w:val="single" w:sz="12" w:space="0" w:color="auto"/>
            </w:tcBorders>
          </w:tcPr>
          <w:p>
            <w:pPr>
              <w:keepNext w:val="0"/>
              <w:spacing w:line="240" w:lineRule="auto"/>
              <w:jc w:val="center"/>
            </w:pPr>
            <w:r>
              <w:rPr>
                <w:sz w:val="18"/>
              </w:rPr>
              <w:t>1881</w:t>
            </w:r>
          </w:p>
        </w:tc>
        <w:tc>
          <w:tcPr>
            <w:tcW w:type="dxa" w:w="2154"/>
            <w:vAlign w:val="center"/>
            <w:tcBorders>
              <w:bottom w:val="single" w:sz="12" w:space="0" w:color="auto"/>
            </w:tcBorders>
          </w:tcPr>
          <w:p>
            <w:pPr>
              <w:keepNext w:val="0"/>
              <w:spacing w:line="240" w:lineRule="auto"/>
              <w:jc w:val="center"/>
            </w:pPr>
            <w:r>
              <w:rPr>
                <w:sz w:val="18"/>
              </w:rPr>
              <w:t>94.0 (92.9–95.0)</w:t>
            </w:r>
          </w:p>
        </w:tc>
        <w:tc>
          <w:tcPr>
            <w:tcW w:type="dxa" w:w="1247"/>
            <w:vAlign w:val="center"/>
            <w:tcBorders>
              <w:bottom w:val="single" w:sz="12" w:space="0" w:color="auto"/>
            </w:tcBorders>
          </w:tcPr>
          <w:p>
            <w:pPr>
              <w:keepNext w:val="0"/>
              <w:spacing w:line="240" w:lineRule="auto"/>
              <w:jc w:val="center"/>
            </w:pPr>
            <w:r>
              <w:rPr>
                <w:sz w:val="18"/>
              </w:rPr>
              <w:t>1.85</w:t>
            </w:r>
          </w:p>
        </w:tc>
        <w:tc>
          <w:tcPr>
            <w:tcW w:type="dxa" w:w="1247"/>
            <w:vAlign w:val="center"/>
            <w:tcBorders>
              <w:bottom w:val="single" w:sz="12" w:space="0" w:color="auto"/>
            </w:tcBorders>
          </w:tcPr>
          <w:p>
            <w:pPr>
              <w:keepNext w:val="0"/>
              <w:spacing w:line="240" w:lineRule="auto"/>
              <w:jc w:val="center"/>
            </w:pPr>
            <w:r>
              <w:rPr>
                <w:sz w:val="18"/>
              </w:rPr>
              <w:t>135.9</w:t>
            </w:r>
          </w:p>
        </w:tc>
      </w:tr>
    </w:tbl>
    <w:p>
      <w:pPr>
        <w:spacing w:line="480" w:lineRule="auto"/>
        <w:jc w:val="both"/>
      </w:pPr>
    </w:p>
    <w:p>
      <w:pPr>
        <w:keepNext/>
        <w:snapToGrid w:val="0"/>
        <w:spacing w:line="480" w:lineRule="auto"/>
        <w:jc w:val="center"/>
      </w:pPr>
      <w:r>
        <w:drawing>
          <wp:inline xmlns:a="http://schemas.openxmlformats.org/drawingml/2006/main" xmlns:pic="http://schemas.openxmlformats.org/drawingml/2006/picture">
            <wp:extent cx="5256000" cy="2609744"/>
            <wp:docPr id="20" name="Picture 20"/>
            <wp:cNvGraphicFramePr>
              <a:graphicFrameLocks noChangeAspect="1"/>
            </wp:cNvGraphicFramePr>
            <a:graphic>
              <a:graphicData uri="http://schemas.openxmlformats.org/drawingml/2006/picture">
                <pic:pic>
                  <pic:nvPicPr>
                    <pic:cNvPr id="0" name="fig5_calibration.png"/>
                    <pic:cNvPicPr/>
                  </pic:nvPicPr>
                  <pic:blipFill>
                    <a:blip r:embed="rId26"/>
                    <a:stretch>
                      <a:fillRect/>
                    </a:stretch>
                  </pic:blipFill>
                  <pic:spPr>
                    <a:xfrm>
                      <a:off x="0" y="0"/>
                      <a:ext cx="5256000" cy="2609744"/>
                    </a:xfrm>
                    <a:prstGeom prst="rect"/>
                  </pic:spPr>
                </pic:pic>
              </a:graphicData>
            </a:graphic>
          </wp:inline>
        </w:drawing>
      </w:r>
    </w:p>
    <w:p>
      <w:pPr>
        <w:keepNext w:val="0"/>
        <w:keepLines/>
        <w:spacing w:line="480" w:lineRule="auto"/>
        <w:jc w:val="center"/>
      </w:pPr>
      <w:r>
        <w:rPr/>
        <w:t xml:space="preserve">Figure 5. </w:t>
      </w:r>
      <w:r>
        <w:rPr/>
        <w:t xml:space="preserve">Main condition (0 dB, </w:t>
      </w:r>
      <w:r>
        <w:rPr>
          <w:i/>
        </w:rPr>
        <w:t>M</w:t>
      </w:r>
      <w:r>
        <w:rPr/>
        <w:t xml:space="preserve"> = 2, </w:t>
      </w:r>
      <w:r>
        <w:rPr>
          <w:i/>
        </w:rPr>
        <w:t>n</w:t>
      </w:r>
      <w:r>
        <w:rPr/>
        <w:t xml:space="preserve"> = 32): (a) empirical versus nominal coverage with Wilson 95% intervals; (b) mean width of the 95% intervals.</w:t>
      </w:r>
    </w:p>
    <w:p>
      <w:pPr>
        <w:numPr>
          <w:ilvl w:val="0"/>
          <w:numId w:val="2"/>
        </w:numPr>
        <w:pStyle w:val="1"/>
        <w:spacing w:line="480" w:lineRule="auto"/>
      </w:pPr>
      <w:r>
        <w:rPr/>
        <w:t>Discussions</w:t>
      </w:r>
    </w:p>
    <w:p>
      <w:pPr>
        <w:pStyle w:val="2"/>
        <w:spacing w:line="480" w:lineRule="auto"/>
      </w:pPr>
      <w:r>
        <w:rPr/>
        <w:t>4.1 When the shared reference matters</w:t>
      </w:r>
    </w:p>
    <w:p>
      <w:pPr>
        <w:spacing w:line="480" w:lineRule="auto"/>
        <w:ind w:firstLine="420"/>
        <w:jc w:val="both"/>
      </w:pPr>
      <w:r>
        <w:rPr/>
        <w:t xml:space="preserve">Equation (7) reduces the role of the reference to the ratio </w:t>
      </w:r>
      <w:r>
        <w:rPr>
          <w:i/>
        </w:rPr>
        <w:t>na</w:t>
      </w:r>
      <w:r>
        <w:rPr>
          <w:vertAlign w:val="superscript"/>
        </w:rPr>
        <w:t>2</w:t>
      </w:r>
      <w:r>
        <w:rPr/>
        <w:t>/</w:t>
      </w:r>
      <w:r>
        <w:rPr>
          <w:i/>
        </w:rPr>
        <w:t>M</w:t>
      </w:r>
      <w:r>
        <w:rPr/>
        <w:t xml:space="preserve">. The shared term dominates once more than </w:t>
      </w:r>
      <w:r>
        <w:rPr>
          <w:i/>
        </w:rPr>
        <w:t>M</w:t>
      </w:r>
      <w:r>
        <w:rPr/>
        <w:t>/</w:t>
      </w:r>
      <w:r>
        <w:rPr>
          <w:i/>
        </w:rPr>
        <w:t>a</w:t>
      </w:r>
      <w:r>
        <w:rPr>
          <w:vertAlign w:val="superscript"/>
        </w:rPr>
        <w:t>2</w:t>
      </w:r>
      <w:r>
        <w:rPr/>
        <w:t xml:space="preserve"> observations are averaged, about 3 observations for a two-slot reference at 2 dB and 101 for 64 slots. This matters when slots are sampled sparsely in slow time: with one slot per minute, </w:t>
      </w:r>
      <w:r>
        <w:rPr>
          <w:i/>
        </w:rPr>
        <w:t>M</w:t>
      </w:r>
      <w:r>
        <w:rPr/>
        <w:t xml:space="preserve"> counts minutes of clear sky, and an hourly or event-accumulated estimate averages tens to hundreds of observations. For accumulated rainfall the shared error of every interval adds coherently, so the reference length should grow with the intended averaging window rather than be fixed. Mapped to rain rate through </w:t>
      </w:r>
      <w:r>
        <w:rPr>
          <w:i/>
        </w:rPr>
        <w:t>δR</w:t>
      </w:r>
      <w:r>
        <w:rPr/>
        <w:t>/</w:t>
      </w:r>
      <w:r>
        <w:rPr>
          <w:i/>
        </w:rPr>
        <w:t>R</w:t>
      </w:r>
      <w:r>
        <w:rPr/>
        <w:t xml:space="preserve"> ≈ </w:t>
      </w:r>
      <w:r>
        <w:rPr>
          <w:i/>
        </w:rPr>
        <w:t>δA</w:t>
      </w:r>
      <w:r>
        <w:rPr/>
        <w:t>/(</w:t>
      </w:r>
      <w:r>
        <w:rPr>
          <w:i/>
        </w:rPr>
        <w:t>αA</w:t>
      </w:r>
      <w:r>
        <w:rPr/>
        <w:t>)</w:t>
      </w:r>
      <w:r>
        <w:rPr/>
        <w:t>, the shared floor at the main condition is 0.45 dB, a relative rain-rate error of 23% at 21.5 mm/h that no averaging removes; with 64 reference slots it falls to 3.4%.</w:t>
      </w:r>
    </w:p>
    <w:p>
      <w:pPr>
        <w:pStyle w:val="2"/>
        <w:spacing w:line="480" w:lineRule="auto"/>
      </w:pPr>
      <w:r>
        <w:rPr/>
        <w:t>4.2 Why the fixed-weight linearisation fails</w:t>
      </w:r>
    </w:p>
    <w:p>
      <w:pPr>
        <w:spacing w:line="480" w:lineRule="auto"/>
        <w:ind w:firstLine="420"/>
        <w:jc w:val="both"/>
      </w:pPr>
      <w:r>
        <w:rPr/>
        <w:t xml:space="preserve">The fixed-weight linearisation under-covers for two separable reasons. First, the noisy reference energy used as plug-in places its prediction below the information bound by the factor </w:t>
      </w:r>
      <w:r>
        <w:rPr/>
        <w:t>1 + 1/</w:t>
      </w:r>
      <w:r>
        <w:rPr>
          <w:i/>
        </w:rPr>
        <w:t>γ</w:t>
      </w:r>
      <w:r>
        <w:rPr>
          <w:vertAlign w:val="subscript"/>
        </w:rPr>
        <w:t>r</w:t>
      </w:r>
      <w:r>
        <w:rPr/>
        <w:t xml:space="preserve"> (Equation 9). Second, freezing the weights discards the noise-energy terms of Equation (11), so the actual variance of the profile estimator exceeds the bound by about </w:t>
      </w:r>
      <w:r>
        <w:rPr/>
        <w:t>2/</w:t>
      </w:r>
      <w:r>
        <w:rPr>
          <w:i/>
        </w:rPr>
        <w:t>γ</w:t>
      </w:r>
      <w:r>
        <w:rPr>
          <w:vertAlign w:val="subscript"/>
        </w:rPr>
        <w:t>r</w:t>
      </w:r>
      <w:r>
        <w:rPr/>
        <w:t xml:space="preserve">. At </w:t>
      </w:r>
      <w:r>
        <w:rPr>
          <w:i/>
        </w:rPr>
        <w:t>γ</w:t>
      </w:r>
      <w:r>
        <w:rPr>
          <w:vertAlign w:val="subscript"/>
        </w:rPr>
        <w:t>r</w:t>
      </w:r>
      <w:r>
        <w:rPr/>
        <w:t xml:space="preserve"> = 2</w:t>
      </w:r>
      <w:r>
        <w:rPr/>
        <w:t xml:space="preserve"> the two effects add up to an underestimate of the shared term by 58%. The parametric bootstrap captures both effects because it re-evaluates the estimator, but the closed form reaches the same coverage at a cost below that of the linearisation. The bootstrap remains useful as a check for estimators without a closed-form root, for instance with frequency-dependent noise.</w:t>
      </w:r>
    </w:p>
    <w:p>
      <w:pPr>
        <w:pStyle w:val="2"/>
        <w:spacing w:line="480" w:lineRule="auto"/>
      </w:pPr>
      <w:r>
        <w:rPr/>
        <w:t>4.3 Limitations and future study</w:t>
      </w:r>
    </w:p>
    <w:p>
      <w:pPr>
        <w:spacing w:line="480" w:lineRule="auto"/>
        <w:ind w:firstLine="420"/>
        <w:jc w:val="both"/>
      </w:pPr>
      <w:r>
        <w:rPr/>
        <w:t>The derivation assumes white noise across pilots and a channel that stays fixed while the reference is reused. A slowly drifting channel or receiver gain adds a shared error that grows with the age of the reference; it can be included as an additional covariance term once its spectrum is known. The attenuation considered here is the total excess attenuation; separating rain from wet-antenna attenuation requires additional models (Schleiss et al., 2013; Pastorek et al., 2022). The validation uses simulated NR waveforms with a standard-compliant DM-RS structure; applying the method to DM-RS recorded on operational links is the next step.</w:t>
      </w:r>
    </w:p>
    <w:p>
      <w:pPr>
        <w:numPr>
          <w:ilvl w:val="0"/>
          <w:numId w:val="2"/>
        </w:numPr>
        <w:pStyle w:val="1"/>
        <w:spacing w:line="480" w:lineRule="auto"/>
      </w:pPr>
      <w:r>
        <w:rPr/>
        <w:t>Conclusions</w:t>
      </w:r>
    </w:p>
    <w:p>
      <w:pPr>
        <w:spacing w:line="480" w:lineRule="auto"/>
        <w:ind w:firstLine="420"/>
        <w:jc w:val="both"/>
      </w:pPr>
      <w:r>
        <w:rPr/>
        <w:t xml:space="preserve">This study quantified the uncertainty that a reused clear-sky reference introduces into 5G NR pilot-based rain attenuation estimation. The Cramér–Rao bound separates an irreducible shared floor from an averaging term, and the shared fraction </w:t>
      </w:r>
      <w:r>
        <w:rPr>
          <w:i/>
        </w:rPr>
        <w:t>na</w:t>
      </w:r>
      <w:r>
        <w:rPr>
          <w:vertAlign w:val="superscript"/>
        </w:rPr>
        <w:t>2</w:t>
      </w:r>
      <w:r>
        <w:rPr/>
        <w:t>/(</w:t>
      </w:r>
      <w:r>
        <w:rPr>
          <w:i/>
        </w:rPr>
        <w:t>M</w:t>
      </w:r>
      <w:r>
        <w:rPr/>
        <w:t xml:space="preserve"> + </w:t>
      </w:r>
      <w:r>
        <w:rPr>
          <w:i/>
        </w:rPr>
        <w:t>na</w:t>
      </w:r>
      <w:r>
        <w:rPr>
          <w:vertAlign w:val="superscript"/>
        </w:rPr>
        <w:t>2</w:t>
      </w:r>
      <w:r>
        <w:rPr/>
        <w:t>)</w:t>
      </w:r>
      <w:r>
        <w:rPr/>
        <w:t xml:space="preserve"> indicates directly whether the reference or the receiver noise limits an averaged estimate. The conventional fixed-weight linearisation falls below this bound by the factor </w:t>
      </w:r>
      <w:r>
        <w:rPr/>
        <w:t>1 + 1/</w:t>
      </w:r>
      <w:r>
        <w:rPr>
          <w:i/>
        </w:rPr>
        <w:t>γ</w:t>
      </w:r>
      <w:r>
        <w:rPr>
          <w:vertAlign w:val="subscript"/>
        </w:rPr>
        <w:t>r</w:t>
      </w:r>
      <w:r>
        <w:rPr/>
        <w:t xml:space="preserve"> and omits the noise-energy terms of the profile estimator; the complete closed-form propagation derived here retains them. In simulations through an NR DM-RS chain, the closed-form intervals covered 94.5–95.4% at the nominal 95% level in all conditions, including a two-slot reference at 0 dB where the linearisation covered 79.6%, and matched a parametric bootstrap at a small fraction of its cost. The reference length should therefore be chosen together with the averaging window, and the closed-form variance can accompany every pilot-based attenuation estimate at negligible cost.</w:t>
      </w:r>
    </w:p>
    <w:p>
      <w:pPr>
        <w:pStyle w:val="1"/>
        <w:spacing w:line="480" w:lineRule="auto"/>
      </w:pPr>
      <w:r>
        <w:rPr/>
        <w:t>Data and code availability</w:t>
      </w:r>
    </w:p>
    <w:p>
      <w:pPr>
        <w:spacing w:line="480" w:lineRule="auto"/>
        <w:ind w:firstLine="420"/>
        <w:jc w:val="both"/>
      </w:pPr>
      <w:r>
        <w:rPr/>
        <w:t>The code, configuration files and results that reproduce all figures and tables are openly available at https://github.com/KJTWangyw/Rain-5G-A.</w:t>
      </w:r>
    </w:p>
    <w:p>
      <w:pPr>
        <w:pStyle w:val="1"/>
        <w:spacing w:line="480" w:lineRule="auto"/>
      </w:pPr>
      <w:r>
        <w:rPr/>
        <w:t>References</w:t>
      </w:r>
    </w:p>
    <w:p>
      <w:pPr>
        <w:spacing w:line="480" w:lineRule="auto"/>
        <w:ind w:left="420" w:hanging="420"/>
        <w:jc w:val="both"/>
      </w:pPr>
      <w:r>
        <w:rPr/>
        <w:t>3GPP. (2024). NR; Physical channels and modulation (3GPP TS 38.211 version 18.3.0 Release 18). ETSI TS 138 211 V18.3.0.</w:t>
      </w:r>
    </w:p>
    <w:p>
      <w:pPr>
        <w:spacing w:line="480" w:lineRule="auto"/>
        <w:ind w:left="420" w:hanging="420"/>
        <w:jc w:val="both"/>
      </w:pPr>
      <w:r>
        <w:rPr/>
        <w:t>Chwala, C., &amp; Kunstmann, H. (2019). Commercial microwave link networks for rainfall observation: Assessment of the current status and future challenges. WIREs Water, 6(2), e1337.</w:t>
      </w:r>
    </w:p>
    <w:p>
      <w:pPr>
        <w:spacing w:line="480" w:lineRule="auto"/>
        <w:ind w:left="420" w:hanging="420"/>
        <w:jc w:val="both"/>
      </w:pPr>
      <w:r>
        <w:rPr/>
        <w:t>Efron, B. (1979). Bootstrap methods: Another look at the jackknife. The Annals of Statistics, 7(1), 1-26.</w:t>
      </w:r>
    </w:p>
    <w:p>
      <w:pPr>
        <w:spacing w:line="480" w:lineRule="auto"/>
        <w:ind w:left="420" w:hanging="420"/>
        <w:jc w:val="both"/>
      </w:pPr>
      <w:r>
        <w:rPr/>
        <w:t>Han, C., Huo, J., Gao, Q., Su, G., &amp; Wang, H. (2020). Rainfall monitoring based on next-generation millimeter-wave backhaul technologies in a dense urban environment. Remote Sensing, 12(6), 1045.</w:t>
      </w:r>
    </w:p>
    <w:p>
      <w:pPr>
        <w:spacing w:line="480" w:lineRule="auto"/>
        <w:ind w:left="420" w:hanging="420"/>
        <w:jc w:val="both"/>
      </w:pPr>
      <w:r>
        <w:rPr/>
        <w:t>ITU-R. (2005). Specific attenuation model for rain for use in prediction methods (Recommendation ITU-R P.838-3). International Telecommunication Union.</w:t>
      </w:r>
    </w:p>
    <w:p>
      <w:pPr>
        <w:spacing w:line="480" w:lineRule="auto"/>
        <w:ind w:left="420" w:hanging="420"/>
        <w:jc w:val="both"/>
      </w:pPr>
      <w:r>
        <w:rPr/>
        <w:t>JCGM. (2008). Evaluation of measurement data—Supplement 1 to the "Guide to the expression of uncertainty in measurement"—Propagation of distributions using a Monte Carlo method (JCGM 101:2008). Joint Committee for Guides in Metrology.</w:t>
      </w:r>
    </w:p>
    <w:p>
      <w:pPr>
        <w:spacing w:line="480" w:lineRule="auto"/>
        <w:ind w:left="420" w:hanging="420"/>
        <w:jc w:val="both"/>
      </w:pPr>
      <w:r>
        <w:rPr/>
        <w:t>Kay, S. M. (1993). Fundamentals of statistical signal processing: Estimation theory. Prentice Hall.</w:t>
      </w:r>
    </w:p>
    <w:p>
      <w:pPr>
        <w:spacing w:line="480" w:lineRule="auto"/>
        <w:ind w:left="420" w:hanging="420"/>
        <w:jc w:val="both"/>
      </w:pPr>
      <w:r>
        <w:rPr/>
        <w:t>Leijnse, H., Uijlenhoet, R., &amp; Stricker, J. N. M. (2007). Rainfall measurement using radio links from cellular communication networks. Water Resources Research, 43(3), W03201.</w:t>
      </w:r>
    </w:p>
    <w:p>
      <w:pPr>
        <w:spacing w:line="480" w:lineRule="auto"/>
        <w:ind w:left="420" w:hanging="420"/>
        <w:jc w:val="both"/>
      </w:pPr>
      <w:r>
        <w:rPr/>
        <w:t>Liu, F., Cui, Y., Masouros, C., Xu, J., Han, T. X., Eldar, Y. C., &amp; Buzzi, S. (2022). Integrated sensing and communications: Toward dual-functional wireless networks for 6G and beyond. IEEE Journal on Selected Areas in Communications, 40(6), 1728-1767.</w:t>
      </w:r>
    </w:p>
    <w:p>
      <w:pPr>
        <w:spacing w:line="480" w:lineRule="auto"/>
        <w:ind w:left="420" w:hanging="420"/>
        <w:jc w:val="both"/>
      </w:pPr>
      <w:r>
        <w:rPr/>
        <w:t>Messer, H., Zinevich, A., &amp; Alpert, P. (2006). Environmental monitoring by wireless communication networks. Science, 312(5774), 713.</w:t>
      </w:r>
    </w:p>
    <w:p>
      <w:pPr>
        <w:spacing w:line="480" w:lineRule="auto"/>
        <w:ind w:left="420" w:hanging="420"/>
        <w:jc w:val="both"/>
      </w:pPr>
      <w:r>
        <w:rPr/>
        <w:t>Overeem, A., Leijnse, H., &amp; Uijlenhoet, R. (2013). Country-wide rainfall maps from cellular communication networks. Proceedings of the National Academy of Sciences, 110(8), 2741-2745.</w:t>
      </w:r>
    </w:p>
    <w:p>
      <w:pPr>
        <w:spacing w:line="480" w:lineRule="auto"/>
        <w:ind w:left="420" w:hanging="420"/>
        <w:jc w:val="both"/>
      </w:pPr>
      <w:r>
        <w:rPr/>
        <w:t>Overeem, A., Leijnse, H., &amp; Uijlenhoet, R. (2016). Retrieval algorithm for rainfall mapping from microwave links in a cellular communication network. Atmospheric Measurement Techniques, 9(5), 2425-2444.</w:t>
      </w:r>
    </w:p>
    <w:p>
      <w:pPr>
        <w:spacing w:line="480" w:lineRule="auto"/>
        <w:ind w:left="420" w:hanging="420"/>
        <w:jc w:val="both"/>
      </w:pPr>
      <w:r>
        <w:rPr/>
        <w:t>Pastorek, J., Fencl, M., Rieckermann, J., &amp; Bareš, V. (2022). Precipitation estimates from commercial microwave links: Practical approaches to wet-antenna correction. IEEE Transactions on Geoscience and Remote Sensing, 60, 4104409.</w:t>
      </w:r>
    </w:p>
    <w:p>
      <w:pPr>
        <w:spacing w:line="480" w:lineRule="auto"/>
        <w:ind w:left="420" w:hanging="420"/>
        <w:jc w:val="both"/>
      </w:pPr>
      <w:r>
        <w:rPr/>
        <w:t>Rios Gaona, M. F., Overeem, A., Leijnse, H., &amp; Uijlenhoet, R. (2015). Measurement and interpolation uncertainties in rainfall maps from cellular communication networks. Hydrology and Earth System Sciences, 19(8), 3571-3584.</w:t>
      </w:r>
    </w:p>
    <w:p>
      <w:pPr>
        <w:spacing w:line="480" w:lineRule="auto"/>
        <w:ind w:left="420" w:hanging="420"/>
        <w:jc w:val="both"/>
      </w:pPr>
      <w:r>
        <w:rPr/>
        <w:t>Schleiss, M., Rieckermann, J., &amp; Berne, A. (2013). Quantification and modeling of wet-antenna attenuation for commercial microwave links. IEEE Geoscience and Remote Sensing Letters, 10(5), 1195-1199.</w:t>
      </w:r>
    </w:p>
    <w:p>
      <w:pPr>
        <w:spacing w:line="480" w:lineRule="auto"/>
        <w:ind w:left="420" w:hanging="420"/>
        <w:jc w:val="both"/>
      </w:pPr>
      <w:r>
        <w:rPr/>
        <w:t>Zinevich, A., Messer, H., &amp; Alpert, P. (2010). Prediction of rainfall intensity measurement errors using commercial microwave communication links. Atmospheric Measurement Techniques, 3(5), 1385-1402.</w:t>
      </w:r>
    </w:p>
    <w:sectPr w:rsidR="009F00B1" w:rsidRPr="003F3B4A" w:rsidSect="000A60F1">
      <w:headerReference w:type="default" r:id="rId62"/>
      <w:footerReference w:type="default" r:id="rId63"/>
      <w:pgSz w:w="11906" w:h="16838"/>
      <w:pgMar w:top="1440" w:right="1800" w:bottom="1440" w:left="1800" w:header="624"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30684" w14:textId="77777777" w:rsidR="00967E7F" w:rsidRDefault="00967E7F" w:rsidP="0085124A">
      <w:pPr>
        <w:spacing w:line="240" w:lineRule="auto"/>
      </w:pPr>
      <w:r>
        <w:separator/>
      </w:r>
    </w:p>
  </w:endnote>
  <w:endnote w:type="continuationSeparator" w:id="0">
    <w:p w14:paraId="3A877AA7" w14:textId="77777777" w:rsidR="00967E7F" w:rsidRDefault="00967E7F" w:rsidP="00851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352962"/>
      <w:docPartObj>
        <w:docPartGallery w:val="Page Numbers (Bottom of Page)"/>
        <w:docPartUnique/>
      </w:docPartObj>
    </w:sdtPr>
    <w:sdtContent>
      <w:sdt>
        <w:sdtPr>
          <w:id w:val="1728636285"/>
          <w:docPartObj>
            <w:docPartGallery w:val="Page Numbers (Top of Page)"/>
            <w:docPartUnique/>
          </w:docPartObj>
        </w:sdtPr>
        <w:sdtContent>
          <w:p w14:paraId="2598169D" w14:textId="52B65879" w:rsidR="00EB7B54" w:rsidRDefault="00EB7B54">
            <w:pPr>
              <w:pStyle w:val="a5"/>
              <w:jc w:val="center"/>
            </w:pPr>
            <w:r>
              <w:rPr>
                <w:b/>
                <w:bCs/>
                <w:sz w:val="24"/>
                <w:szCs w:val="24"/>
              </w:rPr>
              <w:fldChar w:fldCharType="begin"/>
            </w:r>
            <w:r>
              <w:rPr>
                <w:b/>
                <w:bCs/>
              </w:rPr>
              <w:instrText>PAGE</w:instrText>
            </w:r>
            <w:r>
              <w:rPr>
                <w:b/>
                <w:bCs/>
                <w:sz w:val="24"/>
                <w:szCs w:val="24"/>
              </w:rPr>
              <w:fldChar w:fldCharType="separate"/>
            </w:r>
            <w:r w:rsidR="00527F39">
              <w:rPr>
                <w:b/>
                <w:bCs/>
                <w:noProof/>
              </w:rPr>
              <w:t>65</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527F39">
              <w:rPr>
                <w:b/>
                <w:bCs/>
                <w:noProof/>
              </w:rPr>
              <w:t>71</w:t>
            </w:r>
            <w:r>
              <w:rPr>
                <w:b/>
                <w:bCs/>
                <w:sz w:val="24"/>
                <w:szCs w:val="24"/>
              </w:rPr>
              <w:fldChar w:fldCharType="end"/>
            </w:r>
          </w:p>
        </w:sdtContent>
      </w:sdt>
    </w:sdtContent>
  </w:sdt>
  <w:p w14:paraId="7A55F42A" w14:textId="77777777" w:rsidR="00EB7B54" w:rsidRDefault="00EB7B5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4AD1" w14:textId="77777777" w:rsidR="00967E7F" w:rsidRDefault="00967E7F" w:rsidP="0085124A">
      <w:pPr>
        <w:spacing w:line="240" w:lineRule="auto"/>
      </w:pPr>
      <w:r>
        <w:separator/>
      </w:r>
    </w:p>
  </w:footnote>
  <w:footnote w:type="continuationSeparator" w:id="0">
    <w:p w14:paraId="4B1225FF" w14:textId="77777777" w:rsidR="00967E7F" w:rsidRDefault="00967E7F" w:rsidP="008512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034C" w14:textId="77777777" w:rsidR="00EB7B54" w:rsidRPr="008A28BF" w:rsidRDefault="00EB7B54" w:rsidP="00F04FD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432F"/>
    <w:multiLevelType w:val="hybridMultilevel"/>
    <w:tmpl w:val="D6F28BAE"/>
    <w:lvl w:ilvl="0" w:tplc="A8F8BD1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4E85E88"/>
    <w:multiLevelType w:val="hybridMultilevel"/>
    <w:tmpl w:val="A4DC149E"/>
    <w:lvl w:ilvl="0" w:tplc="2A4869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A9D1FAF"/>
    <w:multiLevelType w:val="multilevel"/>
    <w:tmpl w:val="9A68284A"/>
    <w:lvl w:ilvl="0">
      <w:start w:val="1"/>
      <w:numFmt w:val="decimal"/>
      <w:lvlText w:val="%1."/>
      <w:lvlJc w:val="left"/>
      <w:pPr>
        <w:ind w:left="360" w:hanging="360"/>
      </w:pPr>
      <w:rPr>
        <w:rFonts w:hint="default"/>
      </w:rPr>
    </w:lvl>
    <w:lvl w:ilvl="1">
      <w:start w:val="3"/>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4D8226B9"/>
    <w:multiLevelType w:val="hybridMultilevel"/>
    <w:tmpl w:val="3A30AFDA"/>
    <w:lvl w:ilvl="0" w:tplc="574A36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509D6BEF"/>
    <w:multiLevelType w:val="hybridMultilevel"/>
    <w:tmpl w:val="25CE9D18"/>
    <w:lvl w:ilvl="0" w:tplc="1B9EEB14">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23E59A2"/>
    <w:multiLevelType w:val="hybridMultilevel"/>
    <w:tmpl w:val="207A6486"/>
    <w:lvl w:ilvl="0" w:tplc="E56055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9E146F4"/>
    <w:multiLevelType w:val="hybridMultilevel"/>
    <w:tmpl w:val="B2089232"/>
    <w:lvl w:ilvl="0" w:tplc="EC0C1516">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11449774">
    <w:abstractNumId w:val="1"/>
  </w:num>
  <w:num w:numId="2" w16cid:durableId="669871913">
    <w:abstractNumId w:val="2"/>
  </w:num>
  <w:num w:numId="3" w16cid:durableId="746612646">
    <w:abstractNumId w:val="5"/>
  </w:num>
  <w:num w:numId="4" w16cid:durableId="1975524081">
    <w:abstractNumId w:val="6"/>
  </w:num>
  <w:num w:numId="5" w16cid:durableId="1273241040">
    <w:abstractNumId w:val="4"/>
  </w:num>
  <w:num w:numId="6" w16cid:durableId="377360992">
    <w:abstractNumId w:val="0"/>
  </w:num>
  <w:num w:numId="7" w16cid:durableId="1740246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78"/>
    <w:rsid w:val="00001098"/>
    <w:rsid w:val="000013D5"/>
    <w:rsid w:val="00001FEF"/>
    <w:rsid w:val="0000274A"/>
    <w:rsid w:val="00002DBA"/>
    <w:rsid w:val="00003D8E"/>
    <w:rsid w:val="00004929"/>
    <w:rsid w:val="000052D2"/>
    <w:rsid w:val="00005352"/>
    <w:rsid w:val="00006186"/>
    <w:rsid w:val="000106A4"/>
    <w:rsid w:val="00013977"/>
    <w:rsid w:val="000139A1"/>
    <w:rsid w:val="000140D8"/>
    <w:rsid w:val="00015482"/>
    <w:rsid w:val="000155B2"/>
    <w:rsid w:val="00015FE9"/>
    <w:rsid w:val="00016540"/>
    <w:rsid w:val="00016E5A"/>
    <w:rsid w:val="00017F2D"/>
    <w:rsid w:val="00020B41"/>
    <w:rsid w:val="00021D3C"/>
    <w:rsid w:val="00022167"/>
    <w:rsid w:val="00022817"/>
    <w:rsid w:val="000230D9"/>
    <w:rsid w:val="00023903"/>
    <w:rsid w:val="000258A6"/>
    <w:rsid w:val="00025916"/>
    <w:rsid w:val="00025BDE"/>
    <w:rsid w:val="000260D5"/>
    <w:rsid w:val="0002747A"/>
    <w:rsid w:val="000305C5"/>
    <w:rsid w:val="000308D1"/>
    <w:rsid w:val="00030EAF"/>
    <w:rsid w:val="00031118"/>
    <w:rsid w:val="000311E6"/>
    <w:rsid w:val="00031925"/>
    <w:rsid w:val="000325E2"/>
    <w:rsid w:val="00033785"/>
    <w:rsid w:val="00033F1C"/>
    <w:rsid w:val="000340CB"/>
    <w:rsid w:val="0003475A"/>
    <w:rsid w:val="00034A6F"/>
    <w:rsid w:val="0003530D"/>
    <w:rsid w:val="00035FC3"/>
    <w:rsid w:val="000366E9"/>
    <w:rsid w:val="00036B75"/>
    <w:rsid w:val="00036FF5"/>
    <w:rsid w:val="000370C7"/>
    <w:rsid w:val="00037B49"/>
    <w:rsid w:val="00037E4F"/>
    <w:rsid w:val="00037F29"/>
    <w:rsid w:val="00040064"/>
    <w:rsid w:val="00042307"/>
    <w:rsid w:val="000424D5"/>
    <w:rsid w:val="00042845"/>
    <w:rsid w:val="00042D5E"/>
    <w:rsid w:val="00042F0A"/>
    <w:rsid w:val="00044970"/>
    <w:rsid w:val="000453EF"/>
    <w:rsid w:val="000454D4"/>
    <w:rsid w:val="00047BE3"/>
    <w:rsid w:val="00050AE1"/>
    <w:rsid w:val="00050B86"/>
    <w:rsid w:val="000511AB"/>
    <w:rsid w:val="000522EA"/>
    <w:rsid w:val="0005231C"/>
    <w:rsid w:val="00052DFC"/>
    <w:rsid w:val="00053865"/>
    <w:rsid w:val="00053D0D"/>
    <w:rsid w:val="00053EFC"/>
    <w:rsid w:val="00054060"/>
    <w:rsid w:val="00054604"/>
    <w:rsid w:val="00055074"/>
    <w:rsid w:val="000552F8"/>
    <w:rsid w:val="00055936"/>
    <w:rsid w:val="00055EFC"/>
    <w:rsid w:val="000562F6"/>
    <w:rsid w:val="00056C4C"/>
    <w:rsid w:val="00057217"/>
    <w:rsid w:val="000574F8"/>
    <w:rsid w:val="00061036"/>
    <w:rsid w:val="000610F2"/>
    <w:rsid w:val="000624D8"/>
    <w:rsid w:val="00062C82"/>
    <w:rsid w:val="00063984"/>
    <w:rsid w:val="00064DBF"/>
    <w:rsid w:val="00065320"/>
    <w:rsid w:val="0006571B"/>
    <w:rsid w:val="00065A99"/>
    <w:rsid w:val="00066CF1"/>
    <w:rsid w:val="00067181"/>
    <w:rsid w:val="00067ED6"/>
    <w:rsid w:val="000713C4"/>
    <w:rsid w:val="00071AEF"/>
    <w:rsid w:val="00071FD9"/>
    <w:rsid w:val="00072A75"/>
    <w:rsid w:val="00072B2A"/>
    <w:rsid w:val="00072F94"/>
    <w:rsid w:val="000736F3"/>
    <w:rsid w:val="00073BEB"/>
    <w:rsid w:val="00074078"/>
    <w:rsid w:val="00074153"/>
    <w:rsid w:val="000744D1"/>
    <w:rsid w:val="00074CEC"/>
    <w:rsid w:val="0007517B"/>
    <w:rsid w:val="00075903"/>
    <w:rsid w:val="000762B7"/>
    <w:rsid w:val="000763AD"/>
    <w:rsid w:val="000764CA"/>
    <w:rsid w:val="000772B6"/>
    <w:rsid w:val="000773F2"/>
    <w:rsid w:val="00077DC4"/>
    <w:rsid w:val="0008031E"/>
    <w:rsid w:val="000807F4"/>
    <w:rsid w:val="000808CD"/>
    <w:rsid w:val="000812A7"/>
    <w:rsid w:val="000823C0"/>
    <w:rsid w:val="0008246D"/>
    <w:rsid w:val="00082F27"/>
    <w:rsid w:val="00083AA1"/>
    <w:rsid w:val="00084D5D"/>
    <w:rsid w:val="00084E2E"/>
    <w:rsid w:val="00084EE3"/>
    <w:rsid w:val="0008505C"/>
    <w:rsid w:val="00087650"/>
    <w:rsid w:val="000878F4"/>
    <w:rsid w:val="00087FCC"/>
    <w:rsid w:val="00090003"/>
    <w:rsid w:val="00090D49"/>
    <w:rsid w:val="00091765"/>
    <w:rsid w:val="00091965"/>
    <w:rsid w:val="00091E9D"/>
    <w:rsid w:val="000924B5"/>
    <w:rsid w:val="00092FB5"/>
    <w:rsid w:val="00093296"/>
    <w:rsid w:val="00093E34"/>
    <w:rsid w:val="000940A4"/>
    <w:rsid w:val="00094CBD"/>
    <w:rsid w:val="000951C6"/>
    <w:rsid w:val="0009536D"/>
    <w:rsid w:val="00095419"/>
    <w:rsid w:val="000955C3"/>
    <w:rsid w:val="0009587B"/>
    <w:rsid w:val="00095F35"/>
    <w:rsid w:val="00096F69"/>
    <w:rsid w:val="00097790"/>
    <w:rsid w:val="000A0383"/>
    <w:rsid w:val="000A1A8C"/>
    <w:rsid w:val="000A1E11"/>
    <w:rsid w:val="000A1F3C"/>
    <w:rsid w:val="000A20E6"/>
    <w:rsid w:val="000A2528"/>
    <w:rsid w:val="000A3534"/>
    <w:rsid w:val="000A3648"/>
    <w:rsid w:val="000A425D"/>
    <w:rsid w:val="000A473C"/>
    <w:rsid w:val="000A499C"/>
    <w:rsid w:val="000A512A"/>
    <w:rsid w:val="000A60F1"/>
    <w:rsid w:val="000A6797"/>
    <w:rsid w:val="000A6890"/>
    <w:rsid w:val="000A6F59"/>
    <w:rsid w:val="000A75C1"/>
    <w:rsid w:val="000A7C35"/>
    <w:rsid w:val="000B0276"/>
    <w:rsid w:val="000B0E7A"/>
    <w:rsid w:val="000B134E"/>
    <w:rsid w:val="000B260F"/>
    <w:rsid w:val="000B3616"/>
    <w:rsid w:val="000B3C96"/>
    <w:rsid w:val="000B4163"/>
    <w:rsid w:val="000B483D"/>
    <w:rsid w:val="000B52FC"/>
    <w:rsid w:val="000B5D59"/>
    <w:rsid w:val="000B6F7D"/>
    <w:rsid w:val="000C0316"/>
    <w:rsid w:val="000C06EC"/>
    <w:rsid w:val="000C1724"/>
    <w:rsid w:val="000C21B4"/>
    <w:rsid w:val="000C2439"/>
    <w:rsid w:val="000C24B1"/>
    <w:rsid w:val="000C2652"/>
    <w:rsid w:val="000C29E9"/>
    <w:rsid w:val="000C45C8"/>
    <w:rsid w:val="000C4964"/>
    <w:rsid w:val="000C49F6"/>
    <w:rsid w:val="000C6BEF"/>
    <w:rsid w:val="000C6F91"/>
    <w:rsid w:val="000C7C96"/>
    <w:rsid w:val="000C7DAD"/>
    <w:rsid w:val="000C7E23"/>
    <w:rsid w:val="000D08C1"/>
    <w:rsid w:val="000D0C57"/>
    <w:rsid w:val="000D124B"/>
    <w:rsid w:val="000D13C6"/>
    <w:rsid w:val="000D19D1"/>
    <w:rsid w:val="000D387A"/>
    <w:rsid w:val="000D4474"/>
    <w:rsid w:val="000D598A"/>
    <w:rsid w:val="000D5D11"/>
    <w:rsid w:val="000D64A0"/>
    <w:rsid w:val="000D7045"/>
    <w:rsid w:val="000D70EA"/>
    <w:rsid w:val="000D777E"/>
    <w:rsid w:val="000D7AFE"/>
    <w:rsid w:val="000D7F56"/>
    <w:rsid w:val="000E0C91"/>
    <w:rsid w:val="000E0E9B"/>
    <w:rsid w:val="000E15D5"/>
    <w:rsid w:val="000E15E2"/>
    <w:rsid w:val="000E18EC"/>
    <w:rsid w:val="000E3904"/>
    <w:rsid w:val="000E4F54"/>
    <w:rsid w:val="000E6198"/>
    <w:rsid w:val="000E65A1"/>
    <w:rsid w:val="000E6708"/>
    <w:rsid w:val="000E7DB5"/>
    <w:rsid w:val="000F0711"/>
    <w:rsid w:val="000F0CF5"/>
    <w:rsid w:val="000F47BA"/>
    <w:rsid w:val="000F4888"/>
    <w:rsid w:val="000F54E2"/>
    <w:rsid w:val="000F5791"/>
    <w:rsid w:val="000F67FC"/>
    <w:rsid w:val="000F7939"/>
    <w:rsid w:val="000F7B30"/>
    <w:rsid w:val="000F7C4B"/>
    <w:rsid w:val="00100AC2"/>
    <w:rsid w:val="00101838"/>
    <w:rsid w:val="00101850"/>
    <w:rsid w:val="00101F0C"/>
    <w:rsid w:val="00102EEE"/>
    <w:rsid w:val="00103874"/>
    <w:rsid w:val="001042C0"/>
    <w:rsid w:val="00105035"/>
    <w:rsid w:val="0010514A"/>
    <w:rsid w:val="001102A2"/>
    <w:rsid w:val="00111B5E"/>
    <w:rsid w:val="001138F9"/>
    <w:rsid w:val="00113F66"/>
    <w:rsid w:val="001140D5"/>
    <w:rsid w:val="00114135"/>
    <w:rsid w:val="001143B4"/>
    <w:rsid w:val="00115305"/>
    <w:rsid w:val="0011551D"/>
    <w:rsid w:val="00116357"/>
    <w:rsid w:val="001167D5"/>
    <w:rsid w:val="00117524"/>
    <w:rsid w:val="00117CB1"/>
    <w:rsid w:val="0012100E"/>
    <w:rsid w:val="00121659"/>
    <w:rsid w:val="001219D7"/>
    <w:rsid w:val="00121E19"/>
    <w:rsid w:val="00122D48"/>
    <w:rsid w:val="00122DDD"/>
    <w:rsid w:val="00123177"/>
    <w:rsid w:val="001239BF"/>
    <w:rsid w:val="00124397"/>
    <w:rsid w:val="001245B1"/>
    <w:rsid w:val="0012493D"/>
    <w:rsid w:val="00124DE4"/>
    <w:rsid w:val="00126076"/>
    <w:rsid w:val="00126751"/>
    <w:rsid w:val="00126A22"/>
    <w:rsid w:val="001307EB"/>
    <w:rsid w:val="001309EF"/>
    <w:rsid w:val="00131B05"/>
    <w:rsid w:val="001324D9"/>
    <w:rsid w:val="00132588"/>
    <w:rsid w:val="00132880"/>
    <w:rsid w:val="0013365A"/>
    <w:rsid w:val="00134559"/>
    <w:rsid w:val="00134647"/>
    <w:rsid w:val="00135FD9"/>
    <w:rsid w:val="00136393"/>
    <w:rsid w:val="00136447"/>
    <w:rsid w:val="0013774A"/>
    <w:rsid w:val="00137A3E"/>
    <w:rsid w:val="00140085"/>
    <w:rsid w:val="001400B9"/>
    <w:rsid w:val="00140C27"/>
    <w:rsid w:val="00141D14"/>
    <w:rsid w:val="00142BBA"/>
    <w:rsid w:val="00142ED1"/>
    <w:rsid w:val="0014590F"/>
    <w:rsid w:val="00145F8C"/>
    <w:rsid w:val="00146CDE"/>
    <w:rsid w:val="00146EFA"/>
    <w:rsid w:val="0014724E"/>
    <w:rsid w:val="0015126A"/>
    <w:rsid w:val="00151CE5"/>
    <w:rsid w:val="001520C8"/>
    <w:rsid w:val="001532D4"/>
    <w:rsid w:val="001533A4"/>
    <w:rsid w:val="001539CA"/>
    <w:rsid w:val="0015435C"/>
    <w:rsid w:val="00154671"/>
    <w:rsid w:val="0015682D"/>
    <w:rsid w:val="00156BA2"/>
    <w:rsid w:val="0016003B"/>
    <w:rsid w:val="001603F8"/>
    <w:rsid w:val="00160C8B"/>
    <w:rsid w:val="0016198D"/>
    <w:rsid w:val="001620DA"/>
    <w:rsid w:val="00162B31"/>
    <w:rsid w:val="00162EC4"/>
    <w:rsid w:val="0016323A"/>
    <w:rsid w:val="00163D36"/>
    <w:rsid w:val="00165699"/>
    <w:rsid w:val="00165F97"/>
    <w:rsid w:val="0016653F"/>
    <w:rsid w:val="001667B5"/>
    <w:rsid w:val="0016701F"/>
    <w:rsid w:val="00167E3F"/>
    <w:rsid w:val="00171381"/>
    <w:rsid w:val="00172007"/>
    <w:rsid w:val="0017241E"/>
    <w:rsid w:val="00172749"/>
    <w:rsid w:val="00173586"/>
    <w:rsid w:val="00173E49"/>
    <w:rsid w:val="0017487B"/>
    <w:rsid w:val="00174BAB"/>
    <w:rsid w:val="00174CAE"/>
    <w:rsid w:val="00174D2C"/>
    <w:rsid w:val="00174EAD"/>
    <w:rsid w:val="001753F1"/>
    <w:rsid w:val="00175989"/>
    <w:rsid w:val="00176C12"/>
    <w:rsid w:val="00176EC4"/>
    <w:rsid w:val="00176F85"/>
    <w:rsid w:val="00177FF4"/>
    <w:rsid w:val="00181F09"/>
    <w:rsid w:val="00181F75"/>
    <w:rsid w:val="00182041"/>
    <w:rsid w:val="00182956"/>
    <w:rsid w:val="001830DD"/>
    <w:rsid w:val="00183784"/>
    <w:rsid w:val="001838DB"/>
    <w:rsid w:val="001850FB"/>
    <w:rsid w:val="00185341"/>
    <w:rsid w:val="001856AE"/>
    <w:rsid w:val="0018595B"/>
    <w:rsid w:val="00185F24"/>
    <w:rsid w:val="00186E58"/>
    <w:rsid w:val="00187894"/>
    <w:rsid w:val="00187C24"/>
    <w:rsid w:val="00187C2E"/>
    <w:rsid w:val="00187EB0"/>
    <w:rsid w:val="001901AA"/>
    <w:rsid w:val="00190D1C"/>
    <w:rsid w:val="00191988"/>
    <w:rsid w:val="00192B4C"/>
    <w:rsid w:val="0019335E"/>
    <w:rsid w:val="00193E13"/>
    <w:rsid w:val="00195C14"/>
    <w:rsid w:val="00196B18"/>
    <w:rsid w:val="00197CDC"/>
    <w:rsid w:val="001A0EA0"/>
    <w:rsid w:val="001A174D"/>
    <w:rsid w:val="001A2426"/>
    <w:rsid w:val="001A2AAA"/>
    <w:rsid w:val="001A33F5"/>
    <w:rsid w:val="001A365A"/>
    <w:rsid w:val="001A3A0C"/>
    <w:rsid w:val="001A49E2"/>
    <w:rsid w:val="001A59DB"/>
    <w:rsid w:val="001A613D"/>
    <w:rsid w:val="001A6493"/>
    <w:rsid w:val="001A6FA1"/>
    <w:rsid w:val="001A70C6"/>
    <w:rsid w:val="001A7584"/>
    <w:rsid w:val="001A767C"/>
    <w:rsid w:val="001B0843"/>
    <w:rsid w:val="001B0CE4"/>
    <w:rsid w:val="001B1320"/>
    <w:rsid w:val="001B1773"/>
    <w:rsid w:val="001B1B35"/>
    <w:rsid w:val="001B2388"/>
    <w:rsid w:val="001B269E"/>
    <w:rsid w:val="001B2709"/>
    <w:rsid w:val="001B3317"/>
    <w:rsid w:val="001B3DDA"/>
    <w:rsid w:val="001B5F54"/>
    <w:rsid w:val="001B6ED0"/>
    <w:rsid w:val="001B76B4"/>
    <w:rsid w:val="001C03BA"/>
    <w:rsid w:val="001C198B"/>
    <w:rsid w:val="001C19B6"/>
    <w:rsid w:val="001C1D02"/>
    <w:rsid w:val="001C36D6"/>
    <w:rsid w:val="001C37C8"/>
    <w:rsid w:val="001C4BBA"/>
    <w:rsid w:val="001C4EB8"/>
    <w:rsid w:val="001C55DC"/>
    <w:rsid w:val="001C5BF2"/>
    <w:rsid w:val="001C5C2F"/>
    <w:rsid w:val="001C641E"/>
    <w:rsid w:val="001C78F9"/>
    <w:rsid w:val="001D0255"/>
    <w:rsid w:val="001D0875"/>
    <w:rsid w:val="001D0E53"/>
    <w:rsid w:val="001D125E"/>
    <w:rsid w:val="001D1889"/>
    <w:rsid w:val="001D1BF9"/>
    <w:rsid w:val="001D2A09"/>
    <w:rsid w:val="001D336C"/>
    <w:rsid w:val="001D3C6A"/>
    <w:rsid w:val="001D54DA"/>
    <w:rsid w:val="001D5DA3"/>
    <w:rsid w:val="001D5DD0"/>
    <w:rsid w:val="001D73F9"/>
    <w:rsid w:val="001D7A05"/>
    <w:rsid w:val="001D7C8E"/>
    <w:rsid w:val="001E07C5"/>
    <w:rsid w:val="001E1035"/>
    <w:rsid w:val="001E3897"/>
    <w:rsid w:val="001E3928"/>
    <w:rsid w:val="001E46B4"/>
    <w:rsid w:val="001E4F39"/>
    <w:rsid w:val="001E52E0"/>
    <w:rsid w:val="001E6D56"/>
    <w:rsid w:val="001E71BF"/>
    <w:rsid w:val="001E7310"/>
    <w:rsid w:val="001F0048"/>
    <w:rsid w:val="001F1A31"/>
    <w:rsid w:val="001F26F2"/>
    <w:rsid w:val="001F2A4A"/>
    <w:rsid w:val="001F2B39"/>
    <w:rsid w:val="001F2DC2"/>
    <w:rsid w:val="001F2DD8"/>
    <w:rsid w:val="001F2E30"/>
    <w:rsid w:val="001F3E44"/>
    <w:rsid w:val="001F4551"/>
    <w:rsid w:val="001F4A66"/>
    <w:rsid w:val="001F5B1D"/>
    <w:rsid w:val="001F6D7A"/>
    <w:rsid w:val="001F766C"/>
    <w:rsid w:val="001F7929"/>
    <w:rsid w:val="001F7BFA"/>
    <w:rsid w:val="00200649"/>
    <w:rsid w:val="00201B83"/>
    <w:rsid w:val="00204972"/>
    <w:rsid w:val="002051FF"/>
    <w:rsid w:val="0020525D"/>
    <w:rsid w:val="00205F90"/>
    <w:rsid w:val="00206AC3"/>
    <w:rsid w:val="00207447"/>
    <w:rsid w:val="002077C7"/>
    <w:rsid w:val="00207E66"/>
    <w:rsid w:val="002130D2"/>
    <w:rsid w:val="00213CB1"/>
    <w:rsid w:val="002141BF"/>
    <w:rsid w:val="002141C6"/>
    <w:rsid w:val="00214493"/>
    <w:rsid w:val="00214A25"/>
    <w:rsid w:val="002152E9"/>
    <w:rsid w:val="00215EB1"/>
    <w:rsid w:val="00215FDF"/>
    <w:rsid w:val="0021689D"/>
    <w:rsid w:val="00216AF3"/>
    <w:rsid w:val="00216B41"/>
    <w:rsid w:val="00216C28"/>
    <w:rsid w:val="002174E6"/>
    <w:rsid w:val="002177C2"/>
    <w:rsid w:val="00217C6F"/>
    <w:rsid w:val="00217DC9"/>
    <w:rsid w:val="00217E47"/>
    <w:rsid w:val="00220224"/>
    <w:rsid w:val="0022046F"/>
    <w:rsid w:val="00220765"/>
    <w:rsid w:val="00220CD3"/>
    <w:rsid w:val="00220E91"/>
    <w:rsid w:val="00221B7A"/>
    <w:rsid w:val="00222024"/>
    <w:rsid w:val="002221C6"/>
    <w:rsid w:val="00222510"/>
    <w:rsid w:val="00222733"/>
    <w:rsid w:val="00225E87"/>
    <w:rsid w:val="00225F70"/>
    <w:rsid w:val="002260D8"/>
    <w:rsid w:val="002263E3"/>
    <w:rsid w:val="002264DB"/>
    <w:rsid w:val="00227515"/>
    <w:rsid w:val="002276D8"/>
    <w:rsid w:val="00227756"/>
    <w:rsid w:val="00227DD3"/>
    <w:rsid w:val="002308C4"/>
    <w:rsid w:val="00231581"/>
    <w:rsid w:val="002323FC"/>
    <w:rsid w:val="00232B65"/>
    <w:rsid w:val="00233548"/>
    <w:rsid w:val="0023393C"/>
    <w:rsid w:val="00233DB7"/>
    <w:rsid w:val="00233DDF"/>
    <w:rsid w:val="00234297"/>
    <w:rsid w:val="00235ADF"/>
    <w:rsid w:val="00236549"/>
    <w:rsid w:val="00236B2D"/>
    <w:rsid w:val="00237135"/>
    <w:rsid w:val="002374A2"/>
    <w:rsid w:val="00237CBA"/>
    <w:rsid w:val="00237F37"/>
    <w:rsid w:val="00240287"/>
    <w:rsid w:val="00240660"/>
    <w:rsid w:val="002409DB"/>
    <w:rsid w:val="00241874"/>
    <w:rsid w:val="00241AB2"/>
    <w:rsid w:val="002439E0"/>
    <w:rsid w:val="00243DBE"/>
    <w:rsid w:val="00244648"/>
    <w:rsid w:val="0024482E"/>
    <w:rsid w:val="0024602D"/>
    <w:rsid w:val="002464AA"/>
    <w:rsid w:val="00247902"/>
    <w:rsid w:val="00247BE9"/>
    <w:rsid w:val="0025036E"/>
    <w:rsid w:val="00250399"/>
    <w:rsid w:val="00251498"/>
    <w:rsid w:val="00251805"/>
    <w:rsid w:val="002537F8"/>
    <w:rsid w:val="00253988"/>
    <w:rsid w:val="0025442F"/>
    <w:rsid w:val="002545C1"/>
    <w:rsid w:val="0025476D"/>
    <w:rsid w:val="00254934"/>
    <w:rsid w:val="002552D8"/>
    <w:rsid w:val="002559DE"/>
    <w:rsid w:val="00255C1F"/>
    <w:rsid w:val="0025600B"/>
    <w:rsid w:val="002561A6"/>
    <w:rsid w:val="0025795E"/>
    <w:rsid w:val="00260CE0"/>
    <w:rsid w:val="002615DD"/>
    <w:rsid w:val="0026367B"/>
    <w:rsid w:val="002642C1"/>
    <w:rsid w:val="00265212"/>
    <w:rsid w:val="0026599F"/>
    <w:rsid w:val="002666B2"/>
    <w:rsid w:val="0026724D"/>
    <w:rsid w:val="00267691"/>
    <w:rsid w:val="00267AE4"/>
    <w:rsid w:val="0027156A"/>
    <w:rsid w:val="00273B95"/>
    <w:rsid w:val="00273E3D"/>
    <w:rsid w:val="00275BB5"/>
    <w:rsid w:val="00275E09"/>
    <w:rsid w:val="00275E49"/>
    <w:rsid w:val="00276137"/>
    <w:rsid w:val="0028055A"/>
    <w:rsid w:val="00280F97"/>
    <w:rsid w:val="00280FF8"/>
    <w:rsid w:val="00281450"/>
    <w:rsid w:val="002815AA"/>
    <w:rsid w:val="002816C0"/>
    <w:rsid w:val="00281CAC"/>
    <w:rsid w:val="00281EC5"/>
    <w:rsid w:val="00281F42"/>
    <w:rsid w:val="00282262"/>
    <w:rsid w:val="002825A0"/>
    <w:rsid w:val="002826AC"/>
    <w:rsid w:val="00282B89"/>
    <w:rsid w:val="00284284"/>
    <w:rsid w:val="00285037"/>
    <w:rsid w:val="0028596F"/>
    <w:rsid w:val="00287143"/>
    <w:rsid w:val="00290118"/>
    <w:rsid w:val="00290735"/>
    <w:rsid w:val="002918BF"/>
    <w:rsid w:val="002924BE"/>
    <w:rsid w:val="00292932"/>
    <w:rsid w:val="002932B8"/>
    <w:rsid w:val="0029406E"/>
    <w:rsid w:val="00294F80"/>
    <w:rsid w:val="002960AE"/>
    <w:rsid w:val="002A0247"/>
    <w:rsid w:val="002A03EB"/>
    <w:rsid w:val="002A07A2"/>
    <w:rsid w:val="002A0CCC"/>
    <w:rsid w:val="002A1153"/>
    <w:rsid w:val="002A1459"/>
    <w:rsid w:val="002A189A"/>
    <w:rsid w:val="002A331B"/>
    <w:rsid w:val="002A6138"/>
    <w:rsid w:val="002A68E0"/>
    <w:rsid w:val="002A6C26"/>
    <w:rsid w:val="002A6C50"/>
    <w:rsid w:val="002A6EA7"/>
    <w:rsid w:val="002A74BC"/>
    <w:rsid w:val="002A7D3C"/>
    <w:rsid w:val="002B09DB"/>
    <w:rsid w:val="002B0AD3"/>
    <w:rsid w:val="002B1BBD"/>
    <w:rsid w:val="002B1F3B"/>
    <w:rsid w:val="002B2417"/>
    <w:rsid w:val="002B2BEB"/>
    <w:rsid w:val="002B2F0F"/>
    <w:rsid w:val="002B363E"/>
    <w:rsid w:val="002B5771"/>
    <w:rsid w:val="002B577C"/>
    <w:rsid w:val="002B743F"/>
    <w:rsid w:val="002B7DCE"/>
    <w:rsid w:val="002C0002"/>
    <w:rsid w:val="002C0835"/>
    <w:rsid w:val="002C0F12"/>
    <w:rsid w:val="002C0F2E"/>
    <w:rsid w:val="002C133C"/>
    <w:rsid w:val="002C13A7"/>
    <w:rsid w:val="002C221D"/>
    <w:rsid w:val="002C244F"/>
    <w:rsid w:val="002C2AFC"/>
    <w:rsid w:val="002C2E30"/>
    <w:rsid w:val="002C394B"/>
    <w:rsid w:val="002C438E"/>
    <w:rsid w:val="002C45B4"/>
    <w:rsid w:val="002C4800"/>
    <w:rsid w:val="002C4DBA"/>
    <w:rsid w:val="002C5160"/>
    <w:rsid w:val="002C5A00"/>
    <w:rsid w:val="002C6023"/>
    <w:rsid w:val="002C7272"/>
    <w:rsid w:val="002C738B"/>
    <w:rsid w:val="002C73A3"/>
    <w:rsid w:val="002D00A5"/>
    <w:rsid w:val="002D0340"/>
    <w:rsid w:val="002D0814"/>
    <w:rsid w:val="002D0A98"/>
    <w:rsid w:val="002D0E63"/>
    <w:rsid w:val="002D20EC"/>
    <w:rsid w:val="002D2431"/>
    <w:rsid w:val="002D2606"/>
    <w:rsid w:val="002D2620"/>
    <w:rsid w:val="002D3950"/>
    <w:rsid w:val="002D3B64"/>
    <w:rsid w:val="002D3E12"/>
    <w:rsid w:val="002D40D5"/>
    <w:rsid w:val="002D473A"/>
    <w:rsid w:val="002D4D0A"/>
    <w:rsid w:val="002D4EA9"/>
    <w:rsid w:val="002D528C"/>
    <w:rsid w:val="002D52CA"/>
    <w:rsid w:val="002D564A"/>
    <w:rsid w:val="002D6786"/>
    <w:rsid w:val="002D6E79"/>
    <w:rsid w:val="002D7BF8"/>
    <w:rsid w:val="002D7D4A"/>
    <w:rsid w:val="002D7D5C"/>
    <w:rsid w:val="002E043F"/>
    <w:rsid w:val="002E057F"/>
    <w:rsid w:val="002E1DA8"/>
    <w:rsid w:val="002E2F7B"/>
    <w:rsid w:val="002E30EA"/>
    <w:rsid w:val="002E3594"/>
    <w:rsid w:val="002E35DE"/>
    <w:rsid w:val="002E3BF1"/>
    <w:rsid w:val="002E3DC2"/>
    <w:rsid w:val="002E3F53"/>
    <w:rsid w:val="002E50AD"/>
    <w:rsid w:val="002E5B7A"/>
    <w:rsid w:val="002E5DAA"/>
    <w:rsid w:val="002E6617"/>
    <w:rsid w:val="002E6DA1"/>
    <w:rsid w:val="002E714A"/>
    <w:rsid w:val="002E7297"/>
    <w:rsid w:val="002E787A"/>
    <w:rsid w:val="002F010E"/>
    <w:rsid w:val="002F0799"/>
    <w:rsid w:val="002F0835"/>
    <w:rsid w:val="002F087A"/>
    <w:rsid w:val="002F0922"/>
    <w:rsid w:val="002F1033"/>
    <w:rsid w:val="002F11D8"/>
    <w:rsid w:val="002F1AC8"/>
    <w:rsid w:val="002F239A"/>
    <w:rsid w:val="002F31C5"/>
    <w:rsid w:val="002F31DE"/>
    <w:rsid w:val="002F3618"/>
    <w:rsid w:val="002F37D8"/>
    <w:rsid w:val="002F3B1C"/>
    <w:rsid w:val="002F4047"/>
    <w:rsid w:val="002F460D"/>
    <w:rsid w:val="002F558C"/>
    <w:rsid w:val="002F57FF"/>
    <w:rsid w:val="002F5D00"/>
    <w:rsid w:val="002F635A"/>
    <w:rsid w:val="002F6B1D"/>
    <w:rsid w:val="002F7591"/>
    <w:rsid w:val="002F77C0"/>
    <w:rsid w:val="002F7BD9"/>
    <w:rsid w:val="00300F77"/>
    <w:rsid w:val="003013E1"/>
    <w:rsid w:val="003019FF"/>
    <w:rsid w:val="00302439"/>
    <w:rsid w:val="00302F36"/>
    <w:rsid w:val="00304E86"/>
    <w:rsid w:val="00305390"/>
    <w:rsid w:val="00305985"/>
    <w:rsid w:val="00305ED2"/>
    <w:rsid w:val="00306B82"/>
    <w:rsid w:val="00307509"/>
    <w:rsid w:val="00307CBB"/>
    <w:rsid w:val="00307CC9"/>
    <w:rsid w:val="003107A0"/>
    <w:rsid w:val="0031198F"/>
    <w:rsid w:val="003119B6"/>
    <w:rsid w:val="003119FC"/>
    <w:rsid w:val="00311F5B"/>
    <w:rsid w:val="00313919"/>
    <w:rsid w:val="00314479"/>
    <w:rsid w:val="00314C57"/>
    <w:rsid w:val="00314F24"/>
    <w:rsid w:val="0031504D"/>
    <w:rsid w:val="00317B2F"/>
    <w:rsid w:val="00320209"/>
    <w:rsid w:val="003204DB"/>
    <w:rsid w:val="003208D7"/>
    <w:rsid w:val="00320D88"/>
    <w:rsid w:val="00321476"/>
    <w:rsid w:val="00321F96"/>
    <w:rsid w:val="00321FCB"/>
    <w:rsid w:val="003232EE"/>
    <w:rsid w:val="00323FF3"/>
    <w:rsid w:val="003248B0"/>
    <w:rsid w:val="00325851"/>
    <w:rsid w:val="00325866"/>
    <w:rsid w:val="00325FD5"/>
    <w:rsid w:val="0032753C"/>
    <w:rsid w:val="00330D87"/>
    <w:rsid w:val="00330FAD"/>
    <w:rsid w:val="00333225"/>
    <w:rsid w:val="003333A3"/>
    <w:rsid w:val="003352AB"/>
    <w:rsid w:val="00335A45"/>
    <w:rsid w:val="0033619B"/>
    <w:rsid w:val="00336FC6"/>
    <w:rsid w:val="00337095"/>
    <w:rsid w:val="003370B8"/>
    <w:rsid w:val="00337354"/>
    <w:rsid w:val="0033749C"/>
    <w:rsid w:val="00337ABF"/>
    <w:rsid w:val="00340B08"/>
    <w:rsid w:val="00341815"/>
    <w:rsid w:val="00341D2B"/>
    <w:rsid w:val="003427F2"/>
    <w:rsid w:val="003432AA"/>
    <w:rsid w:val="003441B4"/>
    <w:rsid w:val="00344A2C"/>
    <w:rsid w:val="0034624C"/>
    <w:rsid w:val="00346B76"/>
    <w:rsid w:val="00346CB6"/>
    <w:rsid w:val="00347394"/>
    <w:rsid w:val="003475F9"/>
    <w:rsid w:val="0034765C"/>
    <w:rsid w:val="00347A80"/>
    <w:rsid w:val="00350523"/>
    <w:rsid w:val="00350718"/>
    <w:rsid w:val="0035082A"/>
    <w:rsid w:val="00351835"/>
    <w:rsid w:val="003518B0"/>
    <w:rsid w:val="00351E90"/>
    <w:rsid w:val="003520DC"/>
    <w:rsid w:val="003521D3"/>
    <w:rsid w:val="00352917"/>
    <w:rsid w:val="00356AA7"/>
    <w:rsid w:val="00356BEA"/>
    <w:rsid w:val="00357542"/>
    <w:rsid w:val="00357E44"/>
    <w:rsid w:val="00360ABD"/>
    <w:rsid w:val="00362252"/>
    <w:rsid w:val="003630AB"/>
    <w:rsid w:val="00363C72"/>
    <w:rsid w:val="003640AD"/>
    <w:rsid w:val="0036472E"/>
    <w:rsid w:val="00364DFD"/>
    <w:rsid w:val="00365C99"/>
    <w:rsid w:val="0036612C"/>
    <w:rsid w:val="003662DF"/>
    <w:rsid w:val="00366359"/>
    <w:rsid w:val="003667CF"/>
    <w:rsid w:val="00366953"/>
    <w:rsid w:val="0036737D"/>
    <w:rsid w:val="003674EC"/>
    <w:rsid w:val="00367BB1"/>
    <w:rsid w:val="00370EA7"/>
    <w:rsid w:val="00371CB0"/>
    <w:rsid w:val="00372DCB"/>
    <w:rsid w:val="00373059"/>
    <w:rsid w:val="003733E4"/>
    <w:rsid w:val="00373C3F"/>
    <w:rsid w:val="00373D3C"/>
    <w:rsid w:val="0037401D"/>
    <w:rsid w:val="00375D7C"/>
    <w:rsid w:val="00375DEF"/>
    <w:rsid w:val="00377E78"/>
    <w:rsid w:val="003800BF"/>
    <w:rsid w:val="003805A3"/>
    <w:rsid w:val="00380D72"/>
    <w:rsid w:val="0038232C"/>
    <w:rsid w:val="003826A9"/>
    <w:rsid w:val="00382E82"/>
    <w:rsid w:val="0038318F"/>
    <w:rsid w:val="0038337F"/>
    <w:rsid w:val="0038365A"/>
    <w:rsid w:val="003839BF"/>
    <w:rsid w:val="00383B0A"/>
    <w:rsid w:val="003843D7"/>
    <w:rsid w:val="00384A8A"/>
    <w:rsid w:val="003851C2"/>
    <w:rsid w:val="00385DAE"/>
    <w:rsid w:val="0038707F"/>
    <w:rsid w:val="00390FC3"/>
    <w:rsid w:val="00390FD0"/>
    <w:rsid w:val="0039188A"/>
    <w:rsid w:val="003918F2"/>
    <w:rsid w:val="003922FC"/>
    <w:rsid w:val="00392D8F"/>
    <w:rsid w:val="00392EA3"/>
    <w:rsid w:val="00394AD9"/>
    <w:rsid w:val="00395448"/>
    <w:rsid w:val="0039657C"/>
    <w:rsid w:val="00397B28"/>
    <w:rsid w:val="003A1933"/>
    <w:rsid w:val="003A194B"/>
    <w:rsid w:val="003A224E"/>
    <w:rsid w:val="003A2337"/>
    <w:rsid w:val="003A246E"/>
    <w:rsid w:val="003A2AE5"/>
    <w:rsid w:val="003A3633"/>
    <w:rsid w:val="003A4C45"/>
    <w:rsid w:val="003A4E86"/>
    <w:rsid w:val="003A686A"/>
    <w:rsid w:val="003A6E5E"/>
    <w:rsid w:val="003A6F94"/>
    <w:rsid w:val="003A7F18"/>
    <w:rsid w:val="003B0E39"/>
    <w:rsid w:val="003B1070"/>
    <w:rsid w:val="003B1156"/>
    <w:rsid w:val="003B11FB"/>
    <w:rsid w:val="003B41AB"/>
    <w:rsid w:val="003B5AFA"/>
    <w:rsid w:val="003B5E8B"/>
    <w:rsid w:val="003B6A0E"/>
    <w:rsid w:val="003B6CD7"/>
    <w:rsid w:val="003B6F0E"/>
    <w:rsid w:val="003B762A"/>
    <w:rsid w:val="003C0D38"/>
    <w:rsid w:val="003C123E"/>
    <w:rsid w:val="003C19F4"/>
    <w:rsid w:val="003C1C0F"/>
    <w:rsid w:val="003C21B6"/>
    <w:rsid w:val="003C4A72"/>
    <w:rsid w:val="003C4A95"/>
    <w:rsid w:val="003C4CCA"/>
    <w:rsid w:val="003C4DD8"/>
    <w:rsid w:val="003C5624"/>
    <w:rsid w:val="003C5826"/>
    <w:rsid w:val="003C585C"/>
    <w:rsid w:val="003C5938"/>
    <w:rsid w:val="003C5A85"/>
    <w:rsid w:val="003C5FC7"/>
    <w:rsid w:val="003C60D7"/>
    <w:rsid w:val="003C6B66"/>
    <w:rsid w:val="003C77F9"/>
    <w:rsid w:val="003D000D"/>
    <w:rsid w:val="003D161D"/>
    <w:rsid w:val="003D24D7"/>
    <w:rsid w:val="003D2C10"/>
    <w:rsid w:val="003D55D2"/>
    <w:rsid w:val="003D58ED"/>
    <w:rsid w:val="003D5E3E"/>
    <w:rsid w:val="003D613F"/>
    <w:rsid w:val="003E047D"/>
    <w:rsid w:val="003E0719"/>
    <w:rsid w:val="003E1D8C"/>
    <w:rsid w:val="003E26BC"/>
    <w:rsid w:val="003E2B93"/>
    <w:rsid w:val="003E36BA"/>
    <w:rsid w:val="003E4187"/>
    <w:rsid w:val="003E5046"/>
    <w:rsid w:val="003E59D6"/>
    <w:rsid w:val="003E5D26"/>
    <w:rsid w:val="003E5E7F"/>
    <w:rsid w:val="003E6442"/>
    <w:rsid w:val="003E79FE"/>
    <w:rsid w:val="003E7EE9"/>
    <w:rsid w:val="003F0B73"/>
    <w:rsid w:val="003F0CD2"/>
    <w:rsid w:val="003F155D"/>
    <w:rsid w:val="003F2450"/>
    <w:rsid w:val="003F3461"/>
    <w:rsid w:val="003F3B4A"/>
    <w:rsid w:val="003F40A5"/>
    <w:rsid w:val="003F41E9"/>
    <w:rsid w:val="003F4236"/>
    <w:rsid w:val="003F47AF"/>
    <w:rsid w:val="003F5672"/>
    <w:rsid w:val="003F5E6C"/>
    <w:rsid w:val="003F71A5"/>
    <w:rsid w:val="003F780E"/>
    <w:rsid w:val="003F7B7A"/>
    <w:rsid w:val="004005D8"/>
    <w:rsid w:val="0040162F"/>
    <w:rsid w:val="00401F9D"/>
    <w:rsid w:val="00404353"/>
    <w:rsid w:val="00404810"/>
    <w:rsid w:val="00405318"/>
    <w:rsid w:val="00405B7C"/>
    <w:rsid w:val="00406C71"/>
    <w:rsid w:val="0040737C"/>
    <w:rsid w:val="004073DB"/>
    <w:rsid w:val="00407DB4"/>
    <w:rsid w:val="00407E52"/>
    <w:rsid w:val="00411D19"/>
    <w:rsid w:val="00411D96"/>
    <w:rsid w:val="00412350"/>
    <w:rsid w:val="004124F4"/>
    <w:rsid w:val="00412AE3"/>
    <w:rsid w:val="00412E62"/>
    <w:rsid w:val="00412FCA"/>
    <w:rsid w:val="004134B0"/>
    <w:rsid w:val="004135F0"/>
    <w:rsid w:val="004136EC"/>
    <w:rsid w:val="004137F5"/>
    <w:rsid w:val="0041483F"/>
    <w:rsid w:val="00414F4C"/>
    <w:rsid w:val="00417451"/>
    <w:rsid w:val="0042063E"/>
    <w:rsid w:val="00420DF1"/>
    <w:rsid w:val="00421D04"/>
    <w:rsid w:val="00422258"/>
    <w:rsid w:val="004225D3"/>
    <w:rsid w:val="00422B84"/>
    <w:rsid w:val="00423413"/>
    <w:rsid w:val="004247AB"/>
    <w:rsid w:val="00424C2E"/>
    <w:rsid w:val="004257E1"/>
    <w:rsid w:val="00425849"/>
    <w:rsid w:val="00425AAA"/>
    <w:rsid w:val="00426444"/>
    <w:rsid w:val="00427472"/>
    <w:rsid w:val="004300CA"/>
    <w:rsid w:val="004304BE"/>
    <w:rsid w:val="00430B3E"/>
    <w:rsid w:val="0043199D"/>
    <w:rsid w:val="00431C84"/>
    <w:rsid w:val="00431E00"/>
    <w:rsid w:val="00432D37"/>
    <w:rsid w:val="00433639"/>
    <w:rsid w:val="00434471"/>
    <w:rsid w:val="00434EDC"/>
    <w:rsid w:val="00436EC1"/>
    <w:rsid w:val="00437724"/>
    <w:rsid w:val="00437C82"/>
    <w:rsid w:val="00440AB7"/>
    <w:rsid w:val="00440BE2"/>
    <w:rsid w:val="00440D23"/>
    <w:rsid w:val="004411E5"/>
    <w:rsid w:val="0044195B"/>
    <w:rsid w:val="00442BEB"/>
    <w:rsid w:val="004434FD"/>
    <w:rsid w:val="00443D28"/>
    <w:rsid w:val="00443D33"/>
    <w:rsid w:val="0044498F"/>
    <w:rsid w:val="00444AD0"/>
    <w:rsid w:val="00444C2C"/>
    <w:rsid w:val="004451C5"/>
    <w:rsid w:val="004459BC"/>
    <w:rsid w:val="0044631D"/>
    <w:rsid w:val="00446343"/>
    <w:rsid w:val="00446A98"/>
    <w:rsid w:val="004472A5"/>
    <w:rsid w:val="004478C4"/>
    <w:rsid w:val="00450BB6"/>
    <w:rsid w:val="00450CA2"/>
    <w:rsid w:val="00452374"/>
    <w:rsid w:val="004531A2"/>
    <w:rsid w:val="00453511"/>
    <w:rsid w:val="004538F4"/>
    <w:rsid w:val="00454852"/>
    <w:rsid w:val="004550D1"/>
    <w:rsid w:val="00455467"/>
    <w:rsid w:val="00455DBE"/>
    <w:rsid w:val="0045630C"/>
    <w:rsid w:val="004567E8"/>
    <w:rsid w:val="00456A03"/>
    <w:rsid w:val="0046003D"/>
    <w:rsid w:val="00460300"/>
    <w:rsid w:val="004605DA"/>
    <w:rsid w:val="00461F0D"/>
    <w:rsid w:val="004644DD"/>
    <w:rsid w:val="00464FFA"/>
    <w:rsid w:val="00465C9D"/>
    <w:rsid w:val="004675D9"/>
    <w:rsid w:val="00467EA2"/>
    <w:rsid w:val="004705A6"/>
    <w:rsid w:val="00470801"/>
    <w:rsid w:val="0047090B"/>
    <w:rsid w:val="00471621"/>
    <w:rsid w:val="00472379"/>
    <w:rsid w:val="00472575"/>
    <w:rsid w:val="00472BB6"/>
    <w:rsid w:val="00472EEA"/>
    <w:rsid w:val="00473C50"/>
    <w:rsid w:val="00473EA4"/>
    <w:rsid w:val="00474185"/>
    <w:rsid w:val="0047432A"/>
    <w:rsid w:val="004744DD"/>
    <w:rsid w:val="0047490B"/>
    <w:rsid w:val="00474A89"/>
    <w:rsid w:val="00475FF4"/>
    <w:rsid w:val="00476189"/>
    <w:rsid w:val="004802BE"/>
    <w:rsid w:val="004814A5"/>
    <w:rsid w:val="0048223F"/>
    <w:rsid w:val="00483533"/>
    <w:rsid w:val="00483DB1"/>
    <w:rsid w:val="0048457F"/>
    <w:rsid w:val="00484FFE"/>
    <w:rsid w:val="00485BFF"/>
    <w:rsid w:val="00485EEE"/>
    <w:rsid w:val="0048668C"/>
    <w:rsid w:val="00486982"/>
    <w:rsid w:val="00486C0C"/>
    <w:rsid w:val="0048708A"/>
    <w:rsid w:val="00491E05"/>
    <w:rsid w:val="00492A62"/>
    <w:rsid w:val="00493186"/>
    <w:rsid w:val="0049328B"/>
    <w:rsid w:val="004938C0"/>
    <w:rsid w:val="00494255"/>
    <w:rsid w:val="0049567B"/>
    <w:rsid w:val="0049630F"/>
    <w:rsid w:val="0049664B"/>
    <w:rsid w:val="00496669"/>
    <w:rsid w:val="00496758"/>
    <w:rsid w:val="004967D7"/>
    <w:rsid w:val="00497ACE"/>
    <w:rsid w:val="004A000D"/>
    <w:rsid w:val="004A0F4A"/>
    <w:rsid w:val="004A1E5C"/>
    <w:rsid w:val="004A35FC"/>
    <w:rsid w:val="004A3B24"/>
    <w:rsid w:val="004A5312"/>
    <w:rsid w:val="004A54F6"/>
    <w:rsid w:val="004A5729"/>
    <w:rsid w:val="004A5E91"/>
    <w:rsid w:val="004A6264"/>
    <w:rsid w:val="004A64C9"/>
    <w:rsid w:val="004A6777"/>
    <w:rsid w:val="004A6E0B"/>
    <w:rsid w:val="004A7222"/>
    <w:rsid w:val="004A768C"/>
    <w:rsid w:val="004B0B8B"/>
    <w:rsid w:val="004B147D"/>
    <w:rsid w:val="004B1BD8"/>
    <w:rsid w:val="004B1C03"/>
    <w:rsid w:val="004B249F"/>
    <w:rsid w:val="004B2898"/>
    <w:rsid w:val="004B3F65"/>
    <w:rsid w:val="004B4438"/>
    <w:rsid w:val="004B4B66"/>
    <w:rsid w:val="004B4C9C"/>
    <w:rsid w:val="004B4CD1"/>
    <w:rsid w:val="004B5441"/>
    <w:rsid w:val="004B64BA"/>
    <w:rsid w:val="004B699B"/>
    <w:rsid w:val="004B7197"/>
    <w:rsid w:val="004B7690"/>
    <w:rsid w:val="004B7BA9"/>
    <w:rsid w:val="004C05F7"/>
    <w:rsid w:val="004C070D"/>
    <w:rsid w:val="004C0E61"/>
    <w:rsid w:val="004C1A64"/>
    <w:rsid w:val="004C2009"/>
    <w:rsid w:val="004C2339"/>
    <w:rsid w:val="004C30A1"/>
    <w:rsid w:val="004C3651"/>
    <w:rsid w:val="004C3831"/>
    <w:rsid w:val="004C39D2"/>
    <w:rsid w:val="004C44E6"/>
    <w:rsid w:val="004C48DE"/>
    <w:rsid w:val="004C4EAD"/>
    <w:rsid w:val="004C56B6"/>
    <w:rsid w:val="004D1AD2"/>
    <w:rsid w:val="004D1C12"/>
    <w:rsid w:val="004D1CF8"/>
    <w:rsid w:val="004D215E"/>
    <w:rsid w:val="004D2818"/>
    <w:rsid w:val="004D2DB1"/>
    <w:rsid w:val="004D2F6F"/>
    <w:rsid w:val="004D363F"/>
    <w:rsid w:val="004D42B7"/>
    <w:rsid w:val="004D4C42"/>
    <w:rsid w:val="004D4E0C"/>
    <w:rsid w:val="004D55FC"/>
    <w:rsid w:val="004D69E9"/>
    <w:rsid w:val="004D6FAC"/>
    <w:rsid w:val="004D78C6"/>
    <w:rsid w:val="004D7EED"/>
    <w:rsid w:val="004D7F98"/>
    <w:rsid w:val="004E0383"/>
    <w:rsid w:val="004E1E1F"/>
    <w:rsid w:val="004E1F9F"/>
    <w:rsid w:val="004E2BEC"/>
    <w:rsid w:val="004E2F4C"/>
    <w:rsid w:val="004E3042"/>
    <w:rsid w:val="004E36B2"/>
    <w:rsid w:val="004E3FA9"/>
    <w:rsid w:val="004E4536"/>
    <w:rsid w:val="004E5236"/>
    <w:rsid w:val="004E5481"/>
    <w:rsid w:val="004E5749"/>
    <w:rsid w:val="004E5AAB"/>
    <w:rsid w:val="004E6A30"/>
    <w:rsid w:val="004E6DF5"/>
    <w:rsid w:val="004E70DF"/>
    <w:rsid w:val="004E7220"/>
    <w:rsid w:val="004E7B8C"/>
    <w:rsid w:val="004E7D21"/>
    <w:rsid w:val="004E7E6E"/>
    <w:rsid w:val="004F0315"/>
    <w:rsid w:val="004F14EC"/>
    <w:rsid w:val="004F327D"/>
    <w:rsid w:val="004F3A86"/>
    <w:rsid w:val="004F4B38"/>
    <w:rsid w:val="004F60D5"/>
    <w:rsid w:val="004F61DD"/>
    <w:rsid w:val="00501772"/>
    <w:rsid w:val="00501B43"/>
    <w:rsid w:val="0050221E"/>
    <w:rsid w:val="00502A38"/>
    <w:rsid w:val="00502FD5"/>
    <w:rsid w:val="0050324B"/>
    <w:rsid w:val="0050438F"/>
    <w:rsid w:val="00504A82"/>
    <w:rsid w:val="0050674E"/>
    <w:rsid w:val="005078EF"/>
    <w:rsid w:val="00507A3B"/>
    <w:rsid w:val="0051004E"/>
    <w:rsid w:val="0051011D"/>
    <w:rsid w:val="005104B3"/>
    <w:rsid w:val="005107FE"/>
    <w:rsid w:val="00510D1C"/>
    <w:rsid w:val="0051133B"/>
    <w:rsid w:val="005113A8"/>
    <w:rsid w:val="005118B5"/>
    <w:rsid w:val="00511B6F"/>
    <w:rsid w:val="00511E83"/>
    <w:rsid w:val="0051269B"/>
    <w:rsid w:val="0051287A"/>
    <w:rsid w:val="0051517F"/>
    <w:rsid w:val="00516EBE"/>
    <w:rsid w:val="00517142"/>
    <w:rsid w:val="00517D0F"/>
    <w:rsid w:val="00520096"/>
    <w:rsid w:val="00520161"/>
    <w:rsid w:val="00520D61"/>
    <w:rsid w:val="0052250D"/>
    <w:rsid w:val="00523002"/>
    <w:rsid w:val="00523922"/>
    <w:rsid w:val="00523C3B"/>
    <w:rsid w:val="00523E51"/>
    <w:rsid w:val="00523EC6"/>
    <w:rsid w:val="00524090"/>
    <w:rsid w:val="00524827"/>
    <w:rsid w:val="00526271"/>
    <w:rsid w:val="00527667"/>
    <w:rsid w:val="00527885"/>
    <w:rsid w:val="00527F39"/>
    <w:rsid w:val="00530FA0"/>
    <w:rsid w:val="005325DA"/>
    <w:rsid w:val="00533008"/>
    <w:rsid w:val="0053302D"/>
    <w:rsid w:val="00534035"/>
    <w:rsid w:val="005340E4"/>
    <w:rsid w:val="005343C4"/>
    <w:rsid w:val="0053465E"/>
    <w:rsid w:val="00535493"/>
    <w:rsid w:val="0053654A"/>
    <w:rsid w:val="00536936"/>
    <w:rsid w:val="00537B08"/>
    <w:rsid w:val="00537B6B"/>
    <w:rsid w:val="00540338"/>
    <w:rsid w:val="00540C00"/>
    <w:rsid w:val="00540D5A"/>
    <w:rsid w:val="00540F87"/>
    <w:rsid w:val="00541458"/>
    <w:rsid w:val="005427B0"/>
    <w:rsid w:val="00542B5C"/>
    <w:rsid w:val="00542C8B"/>
    <w:rsid w:val="0054388A"/>
    <w:rsid w:val="0054404B"/>
    <w:rsid w:val="0054430D"/>
    <w:rsid w:val="0054506A"/>
    <w:rsid w:val="00545A58"/>
    <w:rsid w:val="00545D97"/>
    <w:rsid w:val="00545EE9"/>
    <w:rsid w:val="005466F3"/>
    <w:rsid w:val="005478DA"/>
    <w:rsid w:val="005506C3"/>
    <w:rsid w:val="00550CD7"/>
    <w:rsid w:val="005526BB"/>
    <w:rsid w:val="00553A86"/>
    <w:rsid w:val="005545C1"/>
    <w:rsid w:val="00554905"/>
    <w:rsid w:val="00554B5E"/>
    <w:rsid w:val="00554BAE"/>
    <w:rsid w:val="00554C72"/>
    <w:rsid w:val="0055659B"/>
    <w:rsid w:val="00556834"/>
    <w:rsid w:val="005568D3"/>
    <w:rsid w:val="00556E98"/>
    <w:rsid w:val="00557171"/>
    <w:rsid w:val="005576E8"/>
    <w:rsid w:val="00560436"/>
    <w:rsid w:val="00560C97"/>
    <w:rsid w:val="0056104B"/>
    <w:rsid w:val="0056140A"/>
    <w:rsid w:val="00561579"/>
    <w:rsid w:val="00561B18"/>
    <w:rsid w:val="00561F78"/>
    <w:rsid w:val="0056217A"/>
    <w:rsid w:val="00562CAA"/>
    <w:rsid w:val="00562F3D"/>
    <w:rsid w:val="005646EA"/>
    <w:rsid w:val="00564882"/>
    <w:rsid w:val="0056556D"/>
    <w:rsid w:val="00565C7B"/>
    <w:rsid w:val="0056626D"/>
    <w:rsid w:val="0056655D"/>
    <w:rsid w:val="00566E46"/>
    <w:rsid w:val="00570B97"/>
    <w:rsid w:val="00570CDC"/>
    <w:rsid w:val="00571325"/>
    <w:rsid w:val="005717DE"/>
    <w:rsid w:val="00571AE3"/>
    <w:rsid w:val="005731AB"/>
    <w:rsid w:val="005739C7"/>
    <w:rsid w:val="00573B13"/>
    <w:rsid w:val="00575C4D"/>
    <w:rsid w:val="00576307"/>
    <w:rsid w:val="005779D2"/>
    <w:rsid w:val="0058018B"/>
    <w:rsid w:val="005814A7"/>
    <w:rsid w:val="00581ADD"/>
    <w:rsid w:val="00582146"/>
    <w:rsid w:val="00582C0F"/>
    <w:rsid w:val="00583484"/>
    <w:rsid w:val="005836D8"/>
    <w:rsid w:val="00583B99"/>
    <w:rsid w:val="005845C3"/>
    <w:rsid w:val="0058474C"/>
    <w:rsid w:val="00584E83"/>
    <w:rsid w:val="0058513B"/>
    <w:rsid w:val="0058533F"/>
    <w:rsid w:val="005911D2"/>
    <w:rsid w:val="00591D18"/>
    <w:rsid w:val="005933E3"/>
    <w:rsid w:val="005938BB"/>
    <w:rsid w:val="00593AE0"/>
    <w:rsid w:val="00593C14"/>
    <w:rsid w:val="00593E6F"/>
    <w:rsid w:val="0059429F"/>
    <w:rsid w:val="0059559D"/>
    <w:rsid w:val="0059562C"/>
    <w:rsid w:val="005959A3"/>
    <w:rsid w:val="005959C5"/>
    <w:rsid w:val="00596943"/>
    <w:rsid w:val="005973A7"/>
    <w:rsid w:val="00597B32"/>
    <w:rsid w:val="00597CA8"/>
    <w:rsid w:val="005A00F4"/>
    <w:rsid w:val="005A0258"/>
    <w:rsid w:val="005A0CCA"/>
    <w:rsid w:val="005A19AB"/>
    <w:rsid w:val="005A1A87"/>
    <w:rsid w:val="005A1CA7"/>
    <w:rsid w:val="005A28B3"/>
    <w:rsid w:val="005A4553"/>
    <w:rsid w:val="005A5214"/>
    <w:rsid w:val="005A58B8"/>
    <w:rsid w:val="005A6108"/>
    <w:rsid w:val="005A616F"/>
    <w:rsid w:val="005A6180"/>
    <w:rsid w:val="005A62FB"/>
    <w:rsid w:val="005A657C"/>
    <w:rsid w:val="005A6700"/>
    <w:rsid w:val="005A6CE6"/>
    <w:rsid w:val="005A73E7"/>
    <w:rsid w:val="005A769C"/>
    <w:rsid w:val="005A7AE7"/>
    <w:rsid w:val="005A7B1B"/>
    <w:rsid w:val="005A7C93"/>
    <w:rsid w:val="005B1498"/>
    <w:rsid w:val="005B15F7"/>
    <w:rsid w:val="005B1693"/>
    <w:rsid w:val="005B251F"/>
    <w:rsid w:val="005B282D"/>
    <w:rsid w:val="005B2A4C"/>
    <w:rsid w:val="005B2BB4"/>
    <w:rsid w:val="005B31C7"/>
    <w:rsid w:val="005B37DD"/>
    <w:rsid w:val="005B447A"/>
    <w:rsid w:val="005B48B6"/>
    <w:rsid w:val="005B494C"/>
    <w:rsid w:val="005B4D3B"/>
    <w:rsid w:val="005B56F7"/>
    <w:rsid w:val="005B5B95"/>
    <w:rsid w:val="005B72A6"/>
    <w:rsid w:val="005C053D"/>
    <w:rsid w:val="005C0861"/>
    <w:rsid w:val="005C0E4C"/>
    <w:rsid w:val="005C1893"/>
    <w:rsid w:val="005C18C3"/>
    <w:rsid w:val="005C1B99"/>
    <w:rsid w:val="005C1C69"/>
    <w:rsid w:val="005C1F85"/>
    <w:rsid w:val="005C3224"/>
    <w:rsid w:val="005C3D71"/>
    <w:rsid w:val="005C3F1C"/>
    <w:rsid w:val="005C3F62"/>
    <w:rsid w:val="005C4227"/>
    <w:rsid w:val="005C4673"/>
    <w:rsid w:val="005C5895"/>
    <w:rsid w:val="005C5D41"/>
    <w:rsid w:val="005C6AA6"/>
    <w:rsid w:val="005C6B9A"/>
    <w:rsid w:val="005C6F9D"/>
    <w:rsid w:val="005C7D96"/>
    <w:rsid w:val="005C7F72"/>
    <w:rsid w:val="005D01E8"/>
    <w:rsid w:val="005D0C70"/>
    <w:rsid w:val="005D1A83"/>
    <w:rsid w:val="005D1DE4"/>
    <w:rsid w:val="005D2192"/>
    <w:rsid w:val="005D41C2"/>
    <w:rsid w:val="005D4FA0"/>
    <w:rsid w:val="005D5A38"/>
    <w:rsid w:val="005D5AB7"/>
    <w:rsid w:val="005D5BDF"/>
    <w:rsid w:val="005D5DC7"/>
    <w:rsid w:val="005D67CA"/>
    <w:rsid w:val="005D743B"/>
    <w:rsid w:val="005E0F72"/>
    <w:rsid w:val="005E1B83"/>
    <w:rsid w:val="005E1FB4"/>
    <w:rsid w:val="005E2B69"/>
    <w:rsid w:val="005E424E"/>
    <w:rsid w:val="005E48E9"/>
    <w:rsid w:val="005E59A6"/>
    <w:rsid w:val="005E5DCB"/>
    <w:rsid w:val="005E6078"/>
    <w:rsid w:val="005E679E"/>
    <w:rsid w:val="005E7125"/>
    <w:rsid w:val="005E7830"/>
    <w:rsid w:val="005E7D21"/>
    <w:rsid w:val="005F06B8"/>
    <w:rsid w:val="005F0970"/>
    <w:rsid w:val="005F0E13"/>
    <w:rsid w:val="005F1070"/>
    <w:rsid w:val="005F18E7"/>
    <w:rsid w:val="005F202A"/>
    <w:rsid w:val="005F27CC"/>
    <w:rsid w:val="005F2D69"/>
    <w:rsid w:val="005F2F9D"/>
    <w:rsid w:val="005F37F9"/>
    <w:rsid w:val="005F38C9"/>
    <w:rsid w:val="005F6327"/>
    <w:rsid w:val="005F63E4"/>
    <w:rsid w:val="005F6613"/>
    <w:rsid w:val="005F6A0D"/>
    <w:rsid w:val="005F6C65"/>
    <w:rsid w:val="005F7B30"/>
    <w:rsid w:val="00600B0D"/>
    <w:rsid w:val="00601361"/>
    <w:rsid w:val="00601B87"/>
    <w:rsid w:val="006030C2"/>
    <w:rsid w:val="00604764"/>
    <w:rsid w:val="00604B6E"/>
    <w:rsid w:val="00605C1A"/>
    <w:rsid w:val="00607C6A"/>
    <w:rsid w:val="00607F91"/>
    <w:rsid w:val="00607F99"/>
    <w:rsid w:val="00610A71"/>
    <w:rsid w:val="0061136A"/>
    <w:rsid w:val="00611B08"/>
    <w:rsid w:val="00612D06"/>
    <w:rsid w:val="00613064"/>
    <w:rsid w:val="006135E6"/>
    <w:rsid w:val="00614273"/>
    <w:rsid w:val="0061584C"/>
    <w:rsid w:val="0061624F"/>
    <w:rsid w:val="00616E37"/>
    <w:rsid w:val="00617C65"/>
    <w:rsid w:val="006200AB"/>
    <w:rsid w:val="006203D5"/>
    <w:rsid w:val="0062085D"/>
    <w:rsid w:val="00622759"/>
    <w:rsid w:val="006229DF"/>
    <w:rsid w:val="00622C33"/>
    <w:rsid w:val="00622CD6"/>
    <w:rsid w:val="00623199"/>
    <w:rsid w:val="00623730"/>
    <w:rsid w:val="0062376E"/>
    <w:rsid w:val="00623A04"/>
    <w:rsid w:val="00623B25"/>
    <w:rsid w:val="006244AF"/>
    <w:rsid w:val="006249BD"/>
    <w:rsid w:val="006252B7"/>
    <w:rsid w:val="006252C8"/>
    <w:rsid w:val="00625A07"/>
    <w:rsid w:val="00625C6A"/>
    <w:rsid w:val="006265C1"/>
    <w:rsid w:val="006266E2"/>
    <w:rsid w:val="00626BC3"/>
    <w:rsid w:val="00626C0D"/>
    <w:rsid w:val="00626C27"/>
    <w:rsid w:val="00626DB7"/>
    <w:rsid w:val="00626FF4"/>
    <w:rsid w:val="00627F04"/>
    <w:rsid w:val="0063141A"/>
    <w:rsid w:val="00631C7A"/>
    <w:rsid w:val="00631EB7"/>
    <w:rsid w:val="00632041"/>
    <w:rsid w:val="006328BC"/>
    <w:rsid w:val="0063302C"/>
    <w:rsid w:val="00633131"/>
    <w:rsid w:val="00633BB9"/>
    <w:rsid w:val="00633E13"/>
    <w:rsid w:val="006341DC"/>
    <w:rsid w:val="006344EC"/>
    <w:rsid w:val="00634AD4"/>
    <w:rsid w:val="00634E41"/>
    <w:rsid w:val="00635A2E"/>
    <w:rsid w:val="00635F3A"/>
    <w:rsid w:val="00636676"/>
    <w:rsid w:val="00636BAB"/>
    <w:rsid w:val="00637429"/>
    <w:rsid w:val="00637774"/>
    <w:rsid w:val="00641710"/>
    <w:rsid w:val="00643EF8"/>
    <w:rsid w:val="00643FAC"/>
    <w:rsid w:val="00644ACC"/>
    <w:rsid w:val="00645D05"/>
    <w:rsid w:val="006465E1"/>
    <w:rsid w:val="00646DD0"/>
    <w:rsid w:val="006478EB"/>
    <w:rsid w:val="00647D23"/>
    <w:rsid w:val="00651801"/>
    <w:rsid w:val="00651F39"/>
    <w:rsid w:val="00652E03"/>
    <w:rsid w:val="006530B0"/>
    <w:rsid w:val="00654B98"/>
    <w:rsid w:val="00654F25"/>
    <w:rsid w:val="006557EF"/>
    <w:rsid w:val="00655DFE"/>
    <w:rsid w:val="00655E65"/>
    <w:rsid w:val="00656178"/>
    <w:rsid w:val="00656C10"/>
    <w:rsid w:val="00656C54"/>
    <w:rsid w:val="00660481"/>
    <w:rsid w:val="006618E6"/>
    <w:rsid w:val="00661DC2"/>
    <w:rsid w:val="00662194"/>
    <w:rsid w:val="006623BC"/>
    <w:rsid w:val="00662667"/>
    <w:rsid w:val="00663108"/>
    <w:rsid w:val="00663D71"/>
    <w:rsid w:val="00664AB9"/>
    <w:rsid w:val="00665BBE"/>
    <w:rsid w:val="006660B5"/>
    <w:rsid w:val="0066777F"/>
    <w:rsid w:val="00670247"/>
    <w:rsid w:val="006706FD"/>
    <w:rsid w:val="00670E7C"/>
    <w:rsid w:val="00671CD7"/>
    <w:rsid w:val="00671D91"/>
    <w:rsid w:val="0067202C"/>
    <w:rsid w:val="0067286E"/>
    <w:rsid w:val="00672A04"/>
    <w:rsid w:val="00672C6B"/>
    <w:rsid w:val="00673586"/>
    <w:rsid w:val="00673833"/>
    <w:rsid w:val="00674198"/>
    <w:rsid w:val="00674C1A"/>
    <w:rsid w:val="0067552C"/>
    <w:rsid w:val="006760BD"/>
    <w:rsid w:val="00676AA5"/>
    <w:rsid w:val="00676E93"/>
    <w:rsid w:val="00676FAA"/>
    <w:rsid w:val="00677125"/>
    <w:rsid w:val="0067746A"/>
    <w:rsid w:val="0068000E"/>
    <w:rsid w:val="006808A0"/>
    <w:rsid w:val="00680DC6"/>
    <w:rsid w:val="0068110E"/>
    <w:rsid w:val="0068121C"/>
    <w:rsid w:val="006814A0"/>
    <w:rsid w:val="00681D50"/>
    <w:rsid w:val="00682107"/>
    <w:rsid w:val="006821BD"/>
    <w:rsid w:val="006825E7"/>
    <w:rsid w:val="006828A7"/>
    <w:rsid w:val="00682B2B"/>
    <w:rsid w:val="00682B3D"/>
    <w:rsid w:val="00683A59"/>
    <w:rsid w:val="00683D98"/>
    <w:rsid w:val="00684BFC"/>
    <w:rsid w:val="00685174"/>
    <w:rsid w:val="00685810"/>
    <w:rsid w:val="00685CBA"/>
    <w:rsid w:val="00685DF4"/>
    <w:rsid w:val="00685F56"/>
    <w:rsid w:val="006861B2"/>
    <w:rsid w:val="0068701A"/>
    <w:rsid w:val="00690922"/>
    <w:rsid w:val="0069148D"/>
    <w:rsid w:val="006916C4"/>
    <w:rsid w:val="0069285B"/>
    <w:rsid w:val="00692B3F"/>
    <w:rsid w:val="00693254"/>
    <w:rsid w:val="0069326D"/>
    <w:rsid w:val="00693F02"/>
    <w:rsid w:val="00694819"/>
    <w:rsid w:val="0069567F"/>
    <w:rsid w:val="00695770"/>
    <w:rsid w:val="006957B8"/>
    <w:rsid w:val="006959DF"/>
    <w:rsid w:val="00695EA0"/>
    <w:rsid w:val="00695F25"/>
    <w:rsid w:val="006964E9"/>
    <w:rsid w:val="00696E01"/>
    <w:rsid w:val="006A1E56"/>
    <w:rsid w:val="006A225A"/>
    <w:rsid w:val="006A2AD4"/>
    <w:rsid w:val="006A3312"/>
    <w:rsid w:val="006A3A40"/>
    <w:rsid w:val="006A4691"/>
    <w:rsid w:val="006A500D"/>
    <w:rsid w:val="006A56BB"/>
    <w:rsid w:val="006A6212"/>
    <w:rsid w:val="006A70DD"/>
    <w:rsid w:val="006A7D14"/>
    <w:rsid w:val="006B0696"/>
    <w:rsid w:val="006B0A7E"/>
    <w:rsid w:val="006B0B05"/>
    <w:rsid w:val="006B1728"/>
    <w:rsid w:val="006B187C"/>
    <w:rsid w:val="006B3504"/>
    <w:rsid w:val="006B4B63"/>
    <w:rsid w:val="006B512D"/>
    <w:rsid w:val="006B5BDF"/>
    <w:rsid w:val="006B699F"/>
    <w:rsid w:val="006B6A36"/>
    <w:rsid w:val="006B6C5D"/>
    <w:rsid w:val="006C042F"/>
    <w:rsid w:val="006C481C"/>
    <w:rsid w:val="006C52C0"/>
    <w:rsid w:val="006C532A"/>
    <w:rsid w:val="006C5384"/>
    <w:rsid w:val="006C6449"/>
    <w:rsid w:val="006C6612"/>
    <w:rsid w:val="006C681B"/>
    <w:rsid w:val="006C710A"/>
    <w:rsid w:val="006C71FC"/>
    <w:rsid w:val="006D0013"/>
    <w:rsid w:val="006D0D39"/>
    <w:rsid w:val="006D135D"/>
    <w:rsid w:val="006D2884"/>
    <w:rsid w:val="006D3B99"/>
    <w:rsid w:val="006D3DD3"/>
    <w:rsid w:val="006D472F"/>
    <w:rsid w:val="006D48C9"/>
    <w:rsid w:val="006D509D"/>
    <w:rsid w:val="006D5109"/>
    <w:rsid w:val="006D5521"/>
    <w:rsid w:val="006D64BA"/>
    <w:rsid w:val="006D67E1"/>
    <w:rsid w:val="006D7028"/>
    <w:rsid w:val="006D76BB"/>
    <w:rsid w:val="006E058B"/>
    <w:rsid w:val="006E0F3C"/>
    <w:rsid w:val="006E1122"/>
    <w:rsid w:val="006E12F9"/>
    <w:rsid w:val="006E1739"/>
    <w:rsid w:val="006E194F"/>
    <w:rsid w:val="006E1CAB"/>
    <w:rsid w:val="006E4272"/>
    <w:rsid w:val="006E42A4"/>
    <w:rsid w:val="006E4891"/>
    <w:rsid w:val="006E4B24"/>
    <w:rsid w:val="006E5D1C"/>
    <w:rsid w:val="006E6414"/>
    <w:rsid w:val="006E644A"/>
    <w:rsid w:val="006E6C7A"/>
    <w:rsid w:val="006E747B"/>
    <w:rsid w:val="006E7DB0"/>
    <w:rsid w:val="006F070A"/>
    <w:rsid w:val="006F07DD"/>
    <w:rsid w:val="006F07F5"/>
    <w:rsid w:val="006F1C0E"/>
    <w:rsid w:val="006F2A1C"/>
    <w:rsid w:val="006F3593"/>
    <w:rsid w:val="006F4577"/>
    <w:rsid w:val="006F46A1"/>
    <w:rsid w:val="006F58A0"/>
    <w:rsid w:val="006F59F9"/>
    <w:rsid w:val="006F5E9B"/>
    <w:rsid w:val="006F637D"/>
    <w:rsid w:val="006F7EDE"/>
    <w:rsid w:val="00700A48"/>
    <w:rsid w:val="00700D45"/>
    <w:rsid w:val="007030FD"/>
    <w:rsid w:val="007039E9"/>
    <w:rsid w:val="00703C2D"/>
    <w:rsid w:val="007042B6"/>
    <w:rsid w:val="007047E6"/>
    <w:rsid w:val="00704AE5"/>
    <w:rsid w:val="00704F69"/>
    <w:rsid w:val="00706814"/>
    <w:rsid w:val="00706BC0"/>
    <w:rsid w:val="00707E6E"/>
    <w:rsid w:val="007101C3"/>
    <w:rsid w:val="0071078C"/>
    <w:rsid w:val="00710D17"/>
    <w:rsid w:val="00710F69"/>
    <w:rsid w:val="007112BC"/>
    <w:rsid w:val="007118A7"/>
    <w:rsid w:val="00711A52"/>
    <w:rsid w:val="00711AE4"/>
    <w:rsid w:val="0071228F"/>
    <w:rsid w:val="00712BED"/>
    <w:rsid w:val="0071351B"/>
    <w:rsid w:val="007148DA"/>
    <w:rsid w:val="00715FC9"/>
    <w:rsid w:val="00717B0B"/>
    <w:rsid w:val="00717E94"/>
    <w:rsid w:val="007207FC"/>
    <w:rsid w:val="00720C79"/>
    <w:rsid w:val="0072121A"/>
    <w:rsid w:val="007213FC"/>
    <w:rsid w:val="00722C49"/>
    <w:rsid w:val="00723418"/>
    <w:rsid w:val="0072454A"/>
    <w:rsid w:val="00724B30"/>
    <w:rsid w:val="00725599"/>
    <w:rsid w:val="00725EF4"/>
    <w:rsid w:val="00725F45"/>
    <w:rsid w:val="00726299"/>
    <w:rsid w:val="007275A3"/>
    <w:rsid w:val="007312C3"/>
    <w:rsid w:val="007316F5"/>
    <w:rsid w:val="00731FC8"/>
    <w:rsid w:val="00732157"/>
    <w:rsid w:val="0073235D"/>
    <w:rsid w:val="007330BC"/>
    <w:rsid w:val="0073351B"/>
    <w:rsid w:val="007341C9"/>
    <w:rsid w:val="00734649"/>
    <w:rsid w:val="00734724"/>
    <w:rsid w:val="007347FC"/>
    <w:rsid w:val="00734855"/>
    <w:rsid w:val="007358E2"/>
    <w:rsid w:val="00735ABA"/>
    <w:rsid w:val="00735B00"/>
    <w:rsid w:val="00735ED0"/>
    <w:rsid w:val="00736C84"/>
    <w:rsid w:val="00736C92"/>
    <w:rsid w:val="00736D5F"/>
    <w:rsid w:val="007372DA"/>
    <w:rsid w:val="007379F7"/>
    <w:rsid w:val="00737C29"/>
    <w:rsid w:val="00740168"/>
    <w:rsid w:val="00740B22"/>
    <w:rsid w:val="00740E04"/>
    <w:rsid w:val="007411D0"/>
    <w:rsid w:val="007412C5"/>
    <w:rsid w:val="0074131B"/>
    <w:rsid w:val="00741C81"/>
    <w:rsid w:val="0074264D"/>
    <w:rsid w:val="00742908"/>
    <w:rsid w:val="00742BBA"/>
    <w:rsid w:val="0074309D"/>
    <w:rsid w:val="0074327E"/>
    <w:rsid w:val="00743434"/>
    <w:rsid w:val="00743897"/>
    <w:rsid w:val="0074397F"/>
    <w:rsid w:val="00743E8D"/>
    <w:rsid w:val="007441FF"/>
    <w:rsid w:val="00744981"/>
    <w:rsid w:val="00744DEC"/>
    <w:rsid w:val="007451A5"/>
    <w:rsid w:val="007463D5"/>
    <w:rsid w:val="007468CA"/>
    <w:rsid w:val="00750ED0"/>
    <w:rsid w:val="0075239B"/>
    <w:rsid w:val="00752C2D"/>
    <w:rsid w:val="00752CC0"/>
    <w:rsid w:val="00752ED9"/>
    <w:rsid w:val="007541DD"/>
    <w:rsid w:val="0075544C"/>
    <w:rsid w:val="007557C3"/>
    <w:rsid w:val="00756450"/>
    <w:rsid w:val="00757375"/>
    <w:rsid w:val="007600AC"/>
    <w:rsid w:val="007603DC"/>
    <w:rsid w:val="007607DB"/>
    <w:rsid w:val="007610AE"/>
    <w:rsid w:val="007621B9"/>
    <w:rsid w:val="007622AB"/>
    <w:rsid w:val="00762474"/>
    <w:rsid w:val="00762584"/>
    <w:rsid w:val="007627B0"/>
    <w:rsid w:val="00762F9C"/>
    <w:rsid w:val="00763AFD"/>
    <w:rsid w:val="00764B9B"/>
    <w:rsid w:val="00765B99"/>
    <w:rsid w:val="00766523"/>
    <w:rsid w:val="0076689F"/>
    <w:rsid w:val="00766A78"/>
    <w:rsid w:val="00766AD0"/>
    <w:rsid w:val="00767DC3"/>
    <w:rsid w:val="00770588"/>
    <w:rsid w:val="00770C3A"/>
    <w:rsid w:val="00771650"/>
    <w:rsid w:val="007716A7"/>
    <w:rsid w:val="0077249E"/>
    <w:rsid w:val="00775627"/>
    <w:rsid w:val="00776C28"/>
    <w:rsid w:val="00777DF5"/>
    <w:rsid w:val="0078067D"/>
    <w:rsid w:val="00780764"/>
    <w:rsid w:val="007826B7"/>
    <w:rsid w:val="0078306D"/>
    <w:rsid w:val="0078392F"/>
    <w:rsid w:val="0078413B"/>
    <w:rsid w:val="0078511A"/>
    <w:rsid w:val="00785197"/>
    <w:rsid w:val="00785513"/>
    <w:rsid w:val="0078551C"/>
    <w:rsid w:val="00785BC5"/>
    <w:rsid w:val="0078600C"/>
    <w:rsid w:val="00786C06"/>
    <w:rsid w:val="00787BAD"/>
    <w:rsid w:val="00787BDA"/>
    <w:rsid w:val="00790932"/>
    <w:rsid w:val="00791E79"/>
    <w:rsid w:val="007924B2"/>
    <w:rsid w:val="00793EF3"/>
    <w:rsid w:val="00794044"/>
    <w:rsid w:val="00794A4F"/>
    <w:rsid w:val="007952AA"/>
    <w:rsid w:val="007959B7"/>
    <w:rsid w:val="00795E53"/>
    <w:rsid w:val="0079771C"/>
    <w:rsid w:val="00797881"/>
    <w:rsid w:val="00797B22"/>
    <w:rsid w:val="00797C52"/>
    <w:rsid w:val="00797F01"/>
    <w:rsid w:val="007A06DA"/>
    <w:rsid w:val="007A13A6"/>
    <w:rsid w:val="007A1A36"/>
    <w:rsid w:val="007A1BE5"/>
    <w:rsid w:val="007A1D60"/>
    <w:rsid w:val="007A242B"/>
    <w:rsid w:val="007A2A5F"/>
    <w:rsid w:val="007A3033"/>
    <w:rsid w:val="007A30B1"/>
    <w:rsid w:val="007A3272"/>
    <w:rsid w:val="007A37C3"/>
    <w:rsid w:val="007A3E99"/>
    <w:rsid w:val="007A5472"/>
    <w:rsid w:val="007A55A3"/>
    <w:rsid w:val="007A5DEB"/>
    <w:rsid w:val="007A6B6F"/>
    <w:rsid w:val="007A71E1"/>
    <w:rsid w:val="007A7758"/>
    <w:rsid w:val="007A7911"/>
    <w:rsid w:val="007A7B8D"/>
    <w:rsid w:val="007A7D18"/>
    <w:rsid w:val="007A7F09"/>
    <w:rsid w:val="007B069E"/>
    <w:rsid w:val="007B2964"/>
    <w:rsid w:val="007B33B3"/>
    <w:rsid w:val="007B38F9"/>
    <w:rsid w:val="007B3C18"/>
    <w:rsid w:val="007B3D9F"/>
    <w:rsid w:val="007B3FDC"/>
    <w:rsid w:val="007B436F"/>
    <w:rsid w:val="007B4815"/>
    <w:rsid w:val="007B4E37"/>
    <w:rsid w:val="007B5336"/>
    <w:rsid w:val="007B55D2"/>
    <w:rsid w:val="007B60EB"/>
    <w:rsid w:val="007B6D32"/>
    <w:rsid w:val="007B767F"/>
    <w:rsid w:val="007C0399"/>
    <w:rsid w:val="007C041E"/>
    <w:rsid w:val="007C05CE"/>
    <w:rsid w:val="007C0E7C"/>
    <w:rsid w:val="007C148B"/>
    <w:rsid w:val="007C4A4B"/>
    <w:rsid w:val="007C54ED"/>
    <w:rsid w:val="007C5701"/>
    <w:rsid w:val="007C5B1D"/>
    <w:rsid w:val="007C6787"/>
    <w:rsid w:val="007C6A64"/>
    <w:rsid w:val="007C73F6"/>
    <w:rsid w:val="007C7B4C"/>
    <w:rsid w:val="007D036F"/>
    <w:rsid w:val="007D0A83"/>
    <w:rsid w:val="007D130B"/>
    <w:rsid w:val="007D1485"/>
    <w:rsid w:val="007D18D8"/>
    <w:rsid w:val="007D32CB"/>
    <w:rsid w:val="007D3942"/>
    <w:rsid w:val="007D47AE"/>
    <w:rsid w:val="007D4EBB"/>
    <w:rsid w:val="007D5427"/>
    <w:rsid w:val="007D55DB"/>
    <w:rsid w:val="007D5774"/>
    <w:rsid w:val="007D71AD"/>
    <w:rsid w:val="007D7378"/>
    <w:rsid w:val="007D7872"/>
    <w:rsid w:val="007E0229"/>
    <w:rsid w:val="007E140A"/>
    <w:rsid w:val="007E1473"/>
    <w:rsid w:val="007E1589"/>
    <w:rsid w:val="007E258B"/>
    <w:rsid w:val="007E300F"/>
    <w:rsid w:val="007E38D8"/>
    <w:rsid w:val="007E4C7A"/>
    <w:rsid w:val="007E5493"/>
    <w:rsid w:val="007E6AA0"/>
    <w:rsid w:val="007E6C81"/>
    <w:rsid w:val="007E725A"/>
    <w:rsid w:val="007E7773"/>
    <w:rsid w:val="007E786E"/>
    <w:rsid w:val="007E7C82"/>
    <w:rsid w:val="007F0D0E"/>
    <w:rsid w:val="007F0EB5"/>
    <w:rsid w:val="007F1EC3"/>
    <w:rsid w:val="007F22A9"/>
    <w:rsid w:val="007F2544"/>
    <w:rsid w:val="007F2CF4"/>
    <w:rsid w:val="007F3034"/>
    <w:rsid w:val="007F4CFB"/>
    <w:rsid w:val="007F52A3"/>
    <w:rsid w:val="007F7284"/>
    <w:rsid w:val="007F7333"/>
    <w:rsid w:val="007F7755"/>
    <w:rsid w:val="007F7952"/>
    <w:rsid w:val="00801660"/>
    <w:rsid w:val="0080231E"/>
    <w:rsid w:val="00802DC6"/>
    <w:rsid w:val="008031B0"/>
    <w:rsid w:val="008034FE"/>
    <w:rsid w:val="008035D6"/>
    <w:rsid w:val="00803A41"/>
    <w:rsid w:val="00803EC7"/>
    <w:rsid w:val="008041B2"/>
    <w:rsid w:val="00804503"/>
    <w:rsid w:val="00804976"/>
    <w:rsid w:val="00805306"/>
    <w:rsid w:val="0080557A"/>
    <w:rsid w:val="008067D8"/>
    <w:rsid w:val="008074FD"/>
    <w:rsid w:val="00807C96"/>
    <w:rsid w:val="008103CA"/>
    <w:rsid w:val="00810586"/>
    <w:rsid w:val="008105BE"/>
    <w:rsid w:val="0081088F"/>
    <w:rsid w:val="00810C1C"/>
    <w:rsid w:val="008115C7"/>
    <w:rsid w:val="00811976"/>
    <w:rsid w:val="008120D9"/>
    <w:rsid w:val="008127ED"/>
    <w:rsid w:val="00812A39"/>
    <w:rsid w:val="00812F2E"/>
    <w:rsid w:val="008135AD"/>
    <w:rsid w:val="00813973"/>
    <w:rsid w:val="008158CF"/>
    <w:rsid w:val="0081591F"/>
    <w:rsid w:val="00815BFE"/>
    <w:rsid w:val="00822FF5"/>
    <w:rsid w:val="008241AE"/>
    <w:rsid w:val="008241C3"/>
    <w:rsid w:val="00824658"/>
    <w:rsid w:val="008255DA"/>
    <w:rsid w:val="0082744B"/>
    <w:rsid w:val="00830D5C"/>
    <w:rsid w:val="00830EA6"/>
    <w:rsid w:val="008316B4"/>
    <w:rsid w:val="0083199B"/>
    <w:rsid w:val="008323B8"/>
    <w:rsid w:val="00832AB2"/>
    <w:rsid w:val="00835172"/>
    <w:rsid w:val="008367D1"/>
    <w:rsid w:val="00837353"/>
    <w:rsid w:val="008374B5"/>
    <w:rsid w:val="008374C7"/>
    <w:rsid w:val="0083758B"/>
    <w:rsid w:val="00841464"/>
    <w:rsid w:val="008424EE"/>
    <w:rsid w:val="00842559"/>
    <w:rsid w:val="00842FF4"/>
    <w:rsid w:val="00843D01"/>
    <w:rsid w:val="00844FBA"/>
    <w:rsid w:val="008453F5"/>
    <w:rsid w:val="00846078"/>
    <w:rsid w:val="008468A8"/>
    <w:rsid w:val="008468CC"/>
    <w:rsid w:val="00846A08"/>
    <w:rsid w:val="00846F3F"/>
    <w:rsid w:val="00847311"/>
    <w:rsid w:val="0084795E"/>
    <w:rsid w:val="008506FF"/>
    <w:rsid w:val="00850923"/>
    <w:rsid w:val="00850997"/>
    <w:rsid w:val="0085099B"/>
    <w:rsid w:val="0085124A"/>
    <w:rsid w:val="00852817"/>
    <w:rsid w:val="00852C17"/>
    <w:rsid w:val="008535BD"/>
    <w:rsid w:val="008535D2"/>
    <w:rsid w:val="00853677"/>
    <w:rsid w:val="008538D0"/>
    <w:rsid w:val="008541D7"/>
    <w:rsid w:val="008548CA"/>
    <w:rsid w:val="00854B3C"/>
    <w:rsid w:val="00854E91"/>
    <w:rsid w:val="008559C8"/>
    <w:rsid w:val="00856545"/>
    <w:rsid w:val="00860695"/>
    <w:rsid w:val="00860B0A"/>
    <w:rsid w:val="00861114"/>
    <w:rsid w:val="00861E21"/>
    <w:rsid w:val="00861E3D"/>
    <w:rsid w:val="008621F4"/>
    <w:rsid w:val="00862945"/>
    <w:rsid w:val="00865A51"/>
    <w:rsid w:val="008666C4"/>
    <w:rsid w:val="00866716"/>
    <w:rsid w:val="00866D65"/>
    <w:rsid w:val="00867582"/>
    <w:rsid w:val="008679D7"/>
    <w:rsid w:val="00867B0B"/>
    <w:rsid w:val="00870911"/>
    <w:rsid w:val="008712CB"/>
    <w:rsid w:val="00871FF2"/>
    <w:rsid w:val="00873DA3"/>
    <w:rsid w:val="00874242"/>
    <w:rsid w:val="008742DC"/>
    <w:rsid w:val="00874E45"/>
    <w:rsid w:val="00874F3F"/>
    <w:rsid w:val="00875193"/>
    <w:rsid w:val="00875713"/>
    <w:rsid w:val="0087664E"/>
    <w:rsid w:val="00876D27"/>
    <w:rsid w:val="008774CF"/>
    <w:rsid w:val="00877EC5"/>
    <w:rsid w:val="00877F6A"/>
    <w:rsid w:val="0088018C"/>
    <w:rsid w:val="008804D6"/>
    <w:rsid w:val="00880989"/>
    <w:rsid w:val="00880AFD"/>
    <w:rsid w:val="00880E71"/>
    <w:rsid w:val="0088115B"/>
    <w:rsid w:val="0088165F"/>
    <w:rsid w:val="0088171E"/>
    <w:rsid w:val="00881BB2"/>
    <w:rsid w:val="00882EFB"/>
    <w:rsid w:val="008834AD"/>
    <w:rsid w:val="00883F52"/>
    <w:rsid w:val="00885385"/>
    <w:rsid w:val="00885FBF"/>
    <w:rsid w:val="00887AB6"/>
    <w:rsid w:val="00893704"/>
    <w:rsid w:val="008937BE"/>
    <w:rsid w:val="00894852"/>
    <w:rsid w:val="00895AA0"/>
    <w:rsid w:val="00896E04"/>
    <w:rsid w:val="00897093"/>
    <w:rsid w:val="00897CAC"/>
    <w:rsid w:val="008A0BB9"/>
    <w:rsid w:val="008A0DCD"/>
    <w:rsid w:val="008A1442"/>
    <w:rsid w:val="008A14C9"/>
    <w:rsid w:val="008A22A7"/>
    <w:rsid w:val="008A2624"/>
    <w:rsid w:val="008A28BF"/>
    <w:rsid w:val="008A3256"/>
    <w:rsid w:val="008A340A"/>
    <w:rsid w:val="008A3689"/>
    <w:rsid w:val="008A43E9"/>
    <w:rsid w:val="008A5B1C"/>
    <w:rsid w:val="008A647F"/>
    <w:rsid w:val="008A64D7"/>
    <w:rsid w:val="008A67EA"/>
    <w:rsid w:val="008A6AD0"/>
    <w:rsid w:val="008A7AD1"/>
    <w:rsid w:val="008B0686"/>
    <w:rsid w:val="008B0D4B"/>
    <w:rsid w:val="008B0FB9"/>
    <w:rsid w:val="008B108A"/>
    <w:rsid w:val="008B2463"/>
    <w:rsid w:val="008B39F7"/>
    <w:rsid w:val="008B49F4"/>
    <w:rsid w:val="008B5709"/>
    <w:rsid w:val="008B6222"/>
    <w:rsid w:val="008B6F14"/>
    <w:rsid w:val="008B755F"/>
    <w:rsid w:val="008B7BBC"/>
    <w:rsid w:val="008C0A3C"/>
    <w:rsid w:val="008C0F6B"/>
    <w:rsid w:val="008C106E"/>
    <w:rsid w:val="008C12B0"/>
    <w:rsid w:val="008C21AB"/>
    <w:rsid w:val="008C3864"/>
    <w:rsid w:val="008C48CE"/>
    <w:rsid w:val="008C4B45"/>
    <w:rsid w:val="008C536F"/>
    <w:rsid w:val="008C54B6"/>
    <w:rsid w:val="008C7469"/>
    <w:rsid w:val="008C7F0C"/>
    <w:rsid w:val="008D162F"/>
    <w:rsid w:val="008D1831"/>
    <w:rsid w:val="008D1B81"/>
    <w:rsid w:val="008D1E22"/>
    <w:rsid w:val="008D2B38"/>
    <w:rsid w:val="008D2F24"/>
    <w:rsid w:val="008D4041"/>
    <w:rsid w:val="008D4386"/>
    <w:rsid w:val="008D4A1F"/>
    <w:rsid w:val="008D4A33"/>
    <w:rsid w:val="008D4AD1"/>
    <w:rsid w:val="008D4CEF"/>
    <w:rsid w:val="008D5095"/>
    <w:rsid w:val="008D54D1"/>
    <w:rsid w:val="008D7485"/>
    <w:rsid w:val="008E0A89"/>
    <w:rsid w:val="008E18F5"/>
    <w:rsid w:val="008E1F37"/>
    <w:rsid w:val="008E2B05"/>
    <w:rsid w:val="008E45F5"/>
    <w:rsid w:val="008E460D"/>
    <w:rsid w:val="008E4811"/>
    <w:rsid w:val="008E4DA7"/>
    <w:rsid w:val="008E4E00"/>
    <w:rsid w:val="008E4E83"/>
    <w:rsid w:val="008E58AA"/>
    <w:rsid w:val="008E60B9"/>
    <w:rsid w:val="008E6CD6"/>
    <w:rsid w:val="008E6EA7"/>
    <w:rsid w:val="008E744D"/>
    <w:rsid w:val="008E77C9"/>
    <w:rsid w:val="008F0494"/>
    <w:rsid w:val="008F11C7"/>
    <w:rsid w:val="008F19B3"/>
    <w:rsid w:val="008F1BA9"/>
    <w:rsid w:val="008F2E03"/>
    <w:rsid w:val="008F3245"/>
    <w:rsid w:val="008F43F6"/>
    <w:rsid w:val="008F4959"/>
    <w:rsid w:val="008F61E2"/>
    <w:rsid w:val="008F6F13"/>
    <w:rsid w:val="008F78C2"/>
    <w:rsid w:val="00900481"/>
    <w:rsid w:val="0090056F"/>
    <w:rsid w:val="00900DFD"/>
    <w:rsid w:val="009015F8"/>
    <w:rsid w:val="0090186D"/>
    <w:rsid w:val="00901C72"/>
    <w:rsid w:val="00901CF3"/>
    <w:rsid w:val="009021C7"/>
    <w:rsid w:val="009025F4"/>
    <w:rsid w:val="00903091"/>
    <w:rsid w:val="00903163"/>
    <w:rsid w:val="009032EF"/>
    <w:rsid w:val="00903D0C"/>
    <w:rsid w:val="00903FAE"/>
    <w:rsid w:val="00905D81"/>
    <w:rsid w:val="00905D84"/>
    <w:rsid w:val="00905F22"/>
    <w:rsid w:val="0090652A"/>
    <w:rsid w:val="00906E40"/>
    <w:rsid w:val="00906E63"/>
    <w:rsid w:val="00907432"/>
    <w:rsid w:val="00907FF5"/>
    <w:rsid w:val="009105F2"/>
    <w:rsid w:val="00910825"/>
    <w:rsid w:val="00910F0E"/>
    <w:rsid w:val="00911857"/>
    <w:rsid w:val="009127EB"/>
    <w:rsid w:val="00912CDE"/>
    <w:rsid w:val="009134DF"/>
    <w:rsid w:val="009135B5"/>
    <w:rsid w:val="009137C7"/>
    <w:rsid w:val="00913C13"/>
    <w:rsid w:val="0091448F"/>
    <w:rsid w:val="00914BDE"/>
    <w:rsid w:val="00914DA8"/>
    <w:rsid w:val="009152C5"/>
    <w:rsid w:val="00915ECE"/>
    <w:rsid w:val="00916256"/>
    <w:rsid w:val="0091725D"/>
    <w:rsid w:val="00917CFE"/>
    <w:rsid w:val="00920017"/>
    <w:rsid w:val="00920985"/>
    <w:rsid w:val="0092126D"/>
    <w:rsid w:val="009233D5"/>
    <w:rsid w:val="00924064"/>
    <w:rsid w:val="00925113"/>
    <w:rsid w:val="009252BB"/>
    <w:rsid w:val="009259A6"/>
    <w:rsid w:val="00926643"/>
    <w:rsid w:val="00926824"/>
    <w:rsid w:val="009269D6"/>
    <w:rsid w:val="00926B9F"/>
    <w:rsid w:val="0092783B"/>
    <w:rsid w:val="00927A1A"/>
    <w:rsid w:val="009303FE"/>
    <w:rsid w:val="009314E5"/>
    <w:rsid w:val="00931C0F"/>
    <w:rsid w:val="00931CC2"/>
    <w:rsid w:val="00931FD2"/>
    <w:rsid w:val="00932623"/>
    <w:rsid w:val="00932C2F"/>
    <w:rsid w:val="00932F27"/>
    <w:rsid w:val="009340AE"/>
    <w:rsid w:val="009343E2"/>
    <w:rsid w:val="00934440"/>
    <w:rsid w:val="009352EA"/>
    <w:rsid w:val="009358DA"/>
    <w:rsid w:val="00936440"/>
    <w:rsid w:val="00940249"/>
    <w:rsid w:val="0094027B"/>
    <w:rsid w:val="009407CF"/>
    <w:rsid w:val="009415C2"/>
    <w:rsid w:val="009426EB"/>
    <w:rsid w:val="00942B8E"/>
    <w:rsid w:val="00945859"/>
    <w:rsid w:val="00946B55"/>
    <w:rsid w:val="00947101"/>
    <w:rsid w:val="00947EE4"/>
    <w:rsid w:val="00951E94"/>
    <w:rsid w:val="009529F0"/>
    <w:rsid w:val="0095314A"/>
    <w:rsid w:val="00953429"/>
    <w:rsid w:val="00954FBD"/>
    <w:rsid w:val="0095541C"/>
    <w:rsid w:val="0095634A"/>
    <w:rsid w:val="009566CA"/>
    <w:rsid w:val="00956E9B"/>
    <w:rsid w:val="009572E9"/>
    <w:rsid w:val="0095783E"/>
    <w:rsid w:val="0096023E"/>
    <w:rsid w:val="00960948"/>
    <w:rsid w:val="00960F99"/>
    <w:rsid w:val="00961BB3"/>
    <w:rsid w:val="00961E6B"/>
    <w:rsid w:val="00961FD7"/>
    <w:rsid w:val="00962C82"/>
    <w:rsid w:val="009631BD"/>
    <w:rsid w:val="00963363"/>
    <w:rsid w:val="0096368C"/>
    <w:rsid w:val="00963774"/>
    <w:rsid w:val="00964990"/>
    <w:rsid w:val="00964DEF"/>
    <w:rsid w:val="00965457"/>
    <w:rsid w:val="00965D51"/>
    <w:rsid w:val="009660E3"/>
    <w:rsid w:val="009669AC"/>
    <w:rsid w:val="00966AB8"/>
    <w:rsid w:val="009670AC"/>
    <w:rsid w:val="00967BAB"/>
    <w:rsid w:val="00967E7F"/>
    <w:rsid w:val="009702DD"/>
    <w:rsid w:val="00970605"/>
    <w:rsid w:val="00971EC8"/>
    <w:rsid w:val="00972743"/>
    <w:rsid w:val="00973468"/>
    <w:rsid w:val="0097447E"/>
    <w:rsid w:val="009750C7"/>
    <w:rsid w:val="00975A8A"/>
    <w:rsid w:val="009764C7"/>
    <w:rsid w:val="00977541"/>
    <w:rsid w:val="009818F8"/>
    <w:rsid w:val="00981B8A"/>
    <w:rsid w:val="0098240E"/>
    <w:rsid w:val="00982578"/>
    <w:rsid w:val="00982E2B"/>
    <w:rsid w:val="009855C6"/>
    <w:rsid w:val="00985818"/>
    <w:rsid w:val="00985B8E"/>
    <w:rsid w:val="0098607B"/>
    <w:rsid w:val="009867E7"/>
    <w:rsid w:val="009875F2"/>
    <w:rsid w:val="00987E19"/>
    <w:rsid w:val="0099084B"/>
    <w:rsid w:val="00991680"/>
    <w:rsid w:val="009928EE"/>
    <w:rsid w:val="00993EFF"/>
    <w:rsid w:val="00994917"/>
    <w:rsid w:val="00994B12"/>
    <w:rsid w:val="00997084"/>
    <w:rsid w:val="009978ED"/>
    <w:rsid w:val="009A033F"/>
    <w:rsid w:val="009A05AA"/>
    <w:rsid w:val="009A0EF6"/>
    <w:rsid w:val="009A0FC0"/>
    <w:rsid w:val="009A13D9"/>
    <w:rsid w:val="009A263B"/>
    <w:rsid w:val="009A2745"/>
    <w:rsid w:val="009A3F6D"/>
    <w:rsid w:val="009A50C3"/>
    <w:rsid w:val="009A5415"/>
    <w:rsid w:val="009A5555"/>
    <w:rsid w:val="009A56D4"/>
    <w:rsid w:val="009A59FF"/>
    <w:rsid w:val="009A5C9C"/>
    <w:rsid w:val="009A5F3E"/>
    <w:rsid w:val="009A695F"/>
    <w:rsid w:val="009A6B3B"/>
    <w:rsid w:val="009A7004"/>
    <w:rsid w:val="009A7063"/>
    <w:rsid w:val="009A7641"/>
    <w:rsid w:val="009A7A75"/>
    <w:rsid w:val="009A7C66"/>
    <w:rsid w:val="009B04B0"/>
    <w:rsid w:val="009B078B"/>
    <w:rsid w:val="009B0A11"/>
    <w:rsid w:val="009B195E"/>
    <w:rsid w:val="009B1C40"/>
    <w:rsid w:val="009B212F"/>
    <w:rsid w:val="009B2750"/>
    <w:rsid w:val="009B2783"/>
    <w:rsid w:val="009B3828"/>
    <w:rsid w:val="009B3B23"/>
    <w:rsid w:val="009B440A"/>
    <w:rsid w:val="009B4671"/>
    <w:rsid w:val="009B4901"/>
    <w:rsid w:val="009B4B05"/>
    <w:rsid w:val="009B4DA3"/>
    <w:rsid w:val="009B53DD"/>
    <w:rsid w:val="009B62EC"/>
    <w:rsid w:val="009B681F"/>
    <w:rsid w:val="009B6DDF"/>
    <w:rsid w:val="009B74B1"/>
    <w:rsid w:val="009C0BD3"/>
    <w:rsid w:val="009C106A"/>
    <w:rsid w:val="009C2CB4"/>
    <w:rsid w:val="009C3AB7"/>
    <w:rsid w:val="009C47BD"/>
    <w:rsid w:val="009C4992"/>
    <w:rsid w:val="009C522F"/>
    <w:rsid w:val="009C5250"/>
    <w:rsid w:val="009C5B8A"/>
    <w:rsid w:val="009C5C35"/>
    <w:rsid w:val="009C61DA"/>
    <w:rsid w:val="009C6D7F"/>
    <w:rsid w:val="009C7173"/>
    <w:rsid w:val="009D01FE"/>
    <w:rsid w:val="009D038A"/>
    <w:rsid w:val="009D317F"/>
    <w:rsid w:val="009D37AE"/>
    <w:rsid w:val="009D3CFF"/>
    <w:rsid w:val="009D3EFC"/>
    <w:rsid w:val="009D46BA"/>
    <w:rsid w:val="009D4BD4"/>
    <w:rsid w:val="009D4DFE"/>
    <w:rsid w:val="009D589A"/>
    <w:rsid w:val="009D7056"/>
    <w:rsid w:val="009D7302"/>
    <w:rsid w:val="009D770F"/>
    <w:rsid w:val="009D7822"/>
    <w:rsid w:val="009E1494"/>
    <w:rsid w:val="009E1C78"/>
    <w:rsid w:val="009E2034"/>
    <w:rsid w:val="009E2D23"/>
    <w:rsid w:val="009E36D2"/>
    <w:rsid w:val="009E492E"/>
    <w:rsid w:val="009E6BCC"/>
    <w:rsid w:val="009E7DB1"/>
    <w:rsid w:val="009F00B1"/>
    <w:rsid w:val="009F066D"/>
    <w:rsid w:val="009F17AA"/>
    <w:rsid w:val="009F2047"/>
    <w:rsid w:val="009F2167"/>
    <w:rsid w:val="009F2421"/>
    <w:rsid w:val="009F2553"/>
    <w:rsid w:val="009F2562"/>
    <w:rsid w:val="009F2C3D"/>
    <w:rsid w:val="009F3E3E"/>
    <w:rsid w:val="009F4AD9"/>
    <w:rsid w:val="009F4C1A"/>
    <w:rsid w:val="009F6038"/>
    <w:rsid w:val="009F6C72"/>
    <w:rsid w:val="009F72B2"/>
    <w:rsid w:val="009F794A"/>
    <w:rsid w:val="009F7DCF"/>
    <w:rsid w:val="00A006CC"/>
    <w:rsid w:val="00A0148F"/>
    <w:rsid w:val="00A01A82"/>
    <w:rsid w:val="00A01E6F"/>
    <w:rsid w:val="00A01FA7"/>
    <w:rsid w:val="00A02F91"/>
    <w:rsid w:val="00A0356E"/>
    <w:rsid w:val="00A042A4"/>
    <w:rsid w:val="00A05F94"/>
    <w:rsid w:val="00A06867"/>
    <w:rsid w:val="00A07068"/>
    <w:rsid w:val="00A07348"/>
    <w:rsid w:val="00A07594"/>
    <w:rsid w:val="00A077DC"/>
    <w:rsid w:val="00A07F0D"/>
    <w:rsid w:val="00A104B8"/>
    <w:rsid w:val="00A1177A"/>
    <w:rsid w:val="00A11F67"/>
    <w:rsid w:val="00A13003"/>
    <w:rsid w:val="00A1340F"/>
    <w:rsid w:val="00A13967"/>
    <w:rsid w:val="00A14726"/>
    <w:rsid w:val="00A14C7D"/>
    <w:rsid w:val="00A168EA"/>
    <w:rsid w:val="00A174F8"/>
    <w:rsid w:val="00A178EC"/>
    <w:rsid w:val="00A17C11"/>
    <w:rsid w:val="00A20373"/>
    <w:rsid w:val="00A21290"/>
    <w:rsid w:val="00A21BD6"/>
    <w:rsid w:val="00A21DB2"/>
    <w:rsid w:val="00A22490"/>
    <w:rsid w:val="00A22A63"/>
    <w:rsid w:val="00A230F8"/>
    <w:rsid w:val="00A23513"/>
    <w:rsid w:val="00A257FA"/>
    <w:rsid w:val="00A2594D"/>
    <w:rsid w:val="00A266A6"/>
    <w:rsid w:val="00A26B34"/>
    <w:rsid w:val="00A27465"/>
    <w:rsid w:val="00A2768D"/>
    <w:rsid w:val="00A311AF"/>
    <w:rsid w:val="00A323DA"/>
    <w:rsid w:val="00A32C0B"/>
    <w:rsid w:val="00A32D7C"/>
    <w:rsid w:val="00A32F3B"/>
    <w:rsid w:val="00A34B76"/>
    <w:rsid w:val="00A355BE"/>
    <w:rsid w:val="00A35ECC"/>
    <w:rsid w:val="00A37302"/>
    <w:rsid w:val="00A37731"/>
    <w:rsid w:val="00A404A7"/>
    <w:rsid w:val="00A40F1E"/>
    <w:rsid w:val="00A41856"/>
    <w:rsid w:val="00A419DA"/>
    <w:rsid w:val="00A42BDD"/>
    <w:rsid w:val="00A42FCE"/>
    <w:rsid w:val="00A4441F"/>
    <w:rsid w:val="00A456A4"/>
    <w:rsid w:val="00A45AC1"/>
    <w:rsid w:val="00A45D3B"/>
    <w:rsid w:val="00A46100"/>
    <w:rsid w:val="00A467F4"/>
    <w:rsid w:val="00A470EB"/>
    <w:rsid w:val="00A47241"/>
    <w:rsid w:val="00A47985"/>
    <w:rsid w:val="00A50493"/>
    <w:rsid w:val="00A52216"/>
    <w:rsid w:val="00A52286"/>
    <w:rsid w:val="00A53859"/>
    <w:rsid w:val="00A540FB"/>
    <w:rsid w:val="00A553FD"/>
    <w:rsid w:val="00A5602D"/>
    <w:rsid w:val="00A564F7"/>
    <w:rsid w:val="00A6039B"/>
    <w:rsid w:val="00A606F9"/>
    <w:rsid w:val="00A60B5D"/>
    <w:rsid w:val="00A610DF"/>
    <w:rsid w:val="00A6153A"/>
    <w:rsid w:val="00A615AF"/>
    <w:rsid w:val="00A615BC"/>
    <w:rsid w:val="00A61DE7"/>
    <w:rsid w:val="00A62193"/>
    <w:rsid w:val="00A6239A"/>
    <w:rsid w:val="00A62F63"/>
    <w:rsid w:val="00A6370D"/>
    <w:rsid w:val="00A63FC4"/>
    <w:rsid w:val="00A666BF"/>
    <w:rsid w:val="00A674E1"/>
    <w:rsid w:val="00A67536"/>
    <w:rsid w:val="00A71F44"/>
    <w:rsid w:val="00A721AB"/>
    <w:rsid w:val="00A72EBB"/>
    <w:rsid w:val="00A73A00"/>
    <w:rsid w:val="00A73DE8"/>
    <w:rsid w:val="00A740D1"/>
    <w:rsid w:val="00A74398"/>
    <w:rsid w:val="00A74619"/>
    <w:rsid w:val="00A747D0"/>
    <w:rsid w:val="00A7493E"/>
    <w:rsid w:val="00A74E75"/>
    <w:rsid w:val="00A7520B"/>
    <w:rsid w:val="00A76A3E"/>
    <w:rsid w:val="00A7733A"/>
    <w:rsid w:val="00A80276"/>
    <w:rsid w:val="00A80530"/>
    <w:rsid w:val="00A80B17"/>
    <w:rsid w:val="00A82B90"/>
    <w:rsid w:val="00A83314"/>
    <w:rsid w:val="00A84318"/>
    <w:rsid w:val="00A850F9"/>
    <w:rsid w:val="00A865EF"/>
    <w:rsid w:val="00A8666B"/>
    <w:rsid w:val="00A86DC3"/>
    <w:rsid w:val="00A86F67"/>
    <w:rsid w:val="00A90CF8"/>
    <w:rsid w:val="00A90E3D"/>
    <w:rsid w:val="00A915E7"/>
    <w:rsid w:val="00A91A22"/>
    <w:rsid w:val="00A9269A"/>
    <w:rsid w:val="00A9354E"/>
    <w:rsid w:val="00A93CB0"/>
    <w:rsid w:val="00A94C04"/>
    <w:rsid w:val="00A94E2E"/>
    <w:rsid w:val="00A956FC"/>
    <w:rsid w:val="00A95AC7"/>
    <w:rsid w:val="00A97540"/>
    <w:rsid w:val="00A97FD1"/>
    <w:rsid w:val="00AA164C"/>
    <w:rsid w:val="00AA1F0E"/>
    <w:rsid w:val="00AA1F20"/>
    <w:rsid w:val="00AA2111"/>
    <w:rsid w:val="00AA26AA"/>
    <w:rsid w:val="00AA2BA8"/>
    <w:rsid w:val="00AA358D"/>
    <w:rsid w:val="00AA3E80"/>
    <w:rsid w:val="00AA5A68"/>
    <w:rsid w:val="00AA5E30"/>
    <w:rsid w:val="00AA6C93"/>
    <w:rsid w:val="00AA7140"/>
    <w:rsid w:val="00AA72AB"/>
    <w:rsid w:val="00AB015C"/>
    <w:rsid w:val="00AB0A5F"/>
    <w:rsid w:val="00AB1E21"/>
    <w:rsid w:val="00AB3DD3"/>
    <w:rsid w:val="00AB428B"/>
    <w:rsid w:val="00AB4427"/>
    <w:rsid w:val="00AB690C"/>
    <w:rsid w:val="00AB6D07"/>
    <w:rsid w:val="00AB6EAB"/>
    <w:rsid w:val="00AB777C"/>
    <w:rsid w:val="00AC012C"/>
    <w:rsid w:val="00AC08BF"/>
    <w:rsid w:val="00AC507B"/>
    <w:rsid w:val="00AC5262"/>
    <w:rsid w:val="00AC5721"/>
    <w:rsid w:val="00AC63DD"/>
    <w:rsid w:val="00AC6869"/>
    <w:rsid w:val="00AC75EB"/>
    <w:rsid w:val="00AD038A"/>
    <w:rsid w:val="00AD1401"/>
    <w:rsid w:val="00AD15C5"/>
    <w:rsid w:val="00AD15FD"/>
    <w:rsid w:val="00AD1701"/>
    <w:rsid w:val="00AD1899"/>
    <w:rsid w:val="00AD3578"/>
    <w:rsid w:val="00AD4526"/>
    <w:rsid w:val="00AD5176"/>
    <w:rsid w:val="00AD5B1A"/>
    <w:rsid w:val="00AD5C60"/>
    <w:rsid w:val="00AD5EF2"/>
    <w:rsid w:val="00AD6DED"/>
    <w:rsid w:val="00AE05C9"/>
    <w:rsid w:val="00AE0E5A"/>
    <w:rsid w:val="00AE0F16"/>
    <w:rsid w:val="00AE161C"/>
    <w:rsid w:val="00AE1F22"/>
    <w:rsid w:val="00AE27F5"/>
    <w:rsid w:val="00AE2F7B"/>
    <w:rsid w:val="00AE305D"/>
    <w:rsid w:val="00AE3136"/>
    <w:rsid w:val="00AE34B3"/>
    <w:rsid w:val="00AE3816"/>
    <w:rsid w:val="00AE384F"/>
    <w:rsid w:val="00AE3CE1"/>
    <w:rsid w:val="00AE3FD6"/>
    <w:rsid w:val="00AE40F1"/>
    <w:rsid w:val="00AE455C"/>
    <w:rsid w:val="00AE5D1D"/>
    <w:rsid w:val="00AE6DA7"/>
    <w:rsid w:val="00AE7B84"/>
    <w:rsid w:val="00AE7D7C"/>
    <w:rsid w:val="00AF101C"/>
    <w:rsid w:val="00AF20A3"/>
    <w:rsid w:val="00AF3D8A"/>
    <w:rsid w:val="00AF44B9"/>
    <w:rsid w:val="00AF462C"/>
    <w:rsid w:val="00AF479D"/>
    <w:rsid w:val="00AF5A32"/>
    <w:rsid w:val="00AF6CDE"/>
    <w:rsid w:val="00B01F58"/>
    <w:rsid w:val="00B01F71"/>
    <w:rsid w:val="00B020CA"/>
    <w:rsid w:val="00B02A09"/>
    <w:rsid w:val="00B032CB"/>
    <w:rsid w:val="00B03A6C"/>
    <w:rsid w:val="00B043F2"/>
    <w:rsid w:val="00B04C7B"/>
    <w:rsid w:val="00B05263"/>
    <w:rsid w:val="00B0568F"/>
    <w:rsid w:val="00B06523"/>
    <w:rsid w:val="00B1090A"/>
    <w:rsid w:val="00B10AD1"/>
    <w:rsid w:val="00B11554"/>
    <w:rsid w:val="00B11B14"/>
    <w:rsid w:val="00B11CE0"/>
    <w:rsid w:val="00B122C9"/>
    <w:rsid w:val="00B13C2D"/>
    <w:rsid w:val="00B145B5"/>
    <w:rsid w:val="00B15119"/>
    <w:rsid w:val="00B162F2"/>
    <w:rsid w:val="00B16B00"/>
    <w:rsid w:val="00B16F88"/>
    <w:rsid w:val="00B17270"/>
    <w:rsid w:val="00B173A5"/>
    <w:rsid w:val="00B203F2"/>
    <w:rsid w:val="00B220D9"/>
    <w:rsid w:val="00B22656"/>
    <w:rsid w:val="00B22724"/>
    <w:rsid w:val="00B22C52"/>
    <w:rsid w:val="00B22DA3"/>
    <w:rsid w:val="00B22FD9"/>
    <w:rsid w:val="00B2334D"/>
    <w:rsid w:val="00B23466"/>
    <w:rsid w:val="00B234B2"/>
    <w:rsid w:val="00B23CEB"/>
    <w:rsid w:val="00B245F6"/>
    <w:rsid w:val="00B24EBF"/>
    <w:rsid w:val="00B273E9"/>
    <w:rsid w:val="00B27FF1"/>
    <w:rsid w:val="00B303A6"/>
    <w:rsid w:val="00B30F8F"/>
    <w:rsid w:val="00B3174B"/>
    <w:rsid w:val="00B32F07"/>
    <w:rsid w:val="00B33464"/>
    <w:rsid w:val="00B336DC"/>
    <w:rsid w:val="00B339B7"/>
    <w:rsid w:val="00B33FB1"/>
    <w:rsid w:val="00B346E8"/>
    <w:rsid w:val="00B35667"/>
    <w:rsid w:val="00B35884"/>
    <w:rsid w:val="00B3597D"/>
    <w:rsid w:val="00B364D3"/>
    <w:rsid w:val="00B369C4"/>
    <w:rsid w:val="00B370DB"/>
    <w:rsid w:val="00B40EDD"/>
    <w:rsid w:val="00B41782"/>
    <w:rsid w:val="00B418F8"/>
    <w:rsid w:val="00B427BD"/>
    <w:rsid w:val="00B43044"/>
    <w:rsid w:val="00B4318C"/>
    <w:rsid w:val="00B43B45"/>
    <w:rsid w:val="00B43E2B"/>
    <w:rsid w:val="00B44372"/>
    <w:rsid w:val="00B443D9"/>
    <w:rsid w:val="00B44947"/>
    <w:rsid w:val="00B44C6B"/>
    <w:rsid w:val="00B45CC1"/>
    <w:rsid w:val="00B4696F"/>
    <w:rsid w:val="00B46C9D"/>
    <w:rsid w:val="00B470EC"/>
    <w:rsid w:val="00B50794"/>
    <w:rsid w:val="00B5079B"/>
    <w:rsid w:val="00B50A43"/>
    <w:rsid w:val="00B51528"/>
    <w:rsid w:val="00B51BA4"/>
    <w:rsid w:val="00B53011"/>
    <w:rsid w:val="00B532FD"/>
    <w:rsid w:val="00B53B67"/>
    <w:rsid w:val="00B5409C"/>
    <w:rsid w:val="00B55721"/>
    <w:rsid w:val="00B568C3"/>
    <w:rsid w:val="00B56C07"/>
    <w:rsid w:val="00B56F0A"/>
    <w:rsid w:val="00B571AE"/>
    <w:rsid w:val="00B57238"/>
    <w:rsid w:val="00B57F3E"/>
    <w:rsid w:val="00B60145"/>
    <w:rsid w:val="00B6029F"/>
    <w:rsid w:val="00B60730"/>
    <w:rsid w:val="00B613C7"/>
    <w:rsid w:val="00B61BF7"/>
    <w:rsid w:val="00B61F52"/>
    <w:rsid w:val="00B621CE"/>
    <w:rsid w:val="00B62BF4"/>
    <w:rsid w:val="00B62E19"/>
    <w:rsid w:val="00B63B6F"/>
    <w:rsid w:val="00B63CD3"/>
    <w:rsid w:val="00B64680"/>
    <w:rsid w:val="00B64892"/>
    <w:rsid w:val="00B64CF0"/>
    <w:rsid w:val="00B64FCF"/>
    <w:rsid w:val="00B65461"/>
    <w:rsid w:val="00B66729"/>
    <w:rsid w:val="00B66840"/>
    <w:rsid w:val="00B669F2"/>
    <w:rsid w:val="00B67D2C"/>
    <w:rsid w:val="00B70383"/>
    <w:rsid w:val="00B71CCA"/>
    <w:rsid w:val="00B733E6"/>
    <w:rsid w:val="00B73EE7"/>
    <w:rsid w:val="00B74076"/>
    <w:rsid w:val="00B74E58"/>
    <w:rsid w:val="00B7514D"/>
    <w:rsid w:val="00B7528B"/>
    <w:rsid w:val="00B75932"/>
    <w:rsid w:val="00B762B8"/>
    <w:rsid w:val="00B76969"/>
    <w:rsid w:val="00B76990"/>
    <w:rsid w:val="00B80D2A"/>
    <w:rsid w:val="00B80DCF"/>
    <w:rsid w:val="00B82673"/>
    <w:rsid w:val="00B83553"/>
    <w:rsid w:val="00B83DED"/>
    <w:rsid w:val="00B854F3"/>
    <w:rsid w:val="00B85754"/>
    <w:rsid w:val="00B85C82"/>
    <w:rsid w:val="00B862AF"/>
    <w:rsid w:val="00B86B53"/>
    <w:rsid w:val="00B86D26"/>
    <w:rsid w:val="00B86D30"/>
    <w:rsid w:val="00B86E8B"/>
    <w:rsid w:val="00B87800"/>
    <w:rsid w:val="00B87D7D"/>
    <w:rsid w:val="00B87DFE"/>
    <w:rsid w:val="00B90DCC"/>
    <w:rsid w:val="00B90F0F"/>
    <w:rsid w:val="00B91271"/>
    <w:rsid w:val="00B91500"/>
    <w:rsid w:val="00B91776"/>
    <w:rsid w:val="00B92CF3"/>
    <w:rsid w:val="00B92D97"/>
    <w:rsid w:val="00B932EB"/>
    <w:rsid w:val="00B932F3"/>
    <w:rsid w:val="00B93389"/>
    <w:rsid w:val="00B93640"/>
    <w:rsid w:val="00B9412B"/>
    <w:rsid w:val="00B94B0B"/>
    <w:rsid w:val="00B952B8"/>
    <w:rsid w:val="00B9554C"/>
    <w:rsid w:val="00B957B5"/>
    <w:rsid w:val="00B97176"/>
    <w:rsid w:val="00B974EF"/>
    <w:rsid w:val="00B97AA0"/>
    <w:rsid w:val="00BA0C21"/>
    <w:rsid w:val="00BA0EAC"/>
    <w:rsid w:val="00BA17C4"/>
    <w:rsid w:val="00BA1DE0"/>
    <w:rsid w:val="00BA1F88"/>
    <w:rsid w:val="00BA27CD"/>
    <w:rsid w:val="00BA2A37"/>
    <w:rsid w:val="00BA2CCC"/>
    <w:rsid w:val="00BA30B5"/>
    <w:rsid w:val="00BA3A16"/>
    <w:rsid w:val="00BA3C8D"/>
    <w:rsid w:val="00BA429D"/>
    <w:rsid w:val="00BA5114"/>
    <w:rsid w:val="00BA53A1"/>
    <w:rsid w:val="00BA6640"/>
    <w:rsid w:val="00BA6782"/>
    <w:rsid w:val="00BA716D"/>
    <w:rsid w:val="00BA7A60"/>
    <w:rsid w:val="00BA7DA0"/>
    <w:rsid w:val="00BA7E93"/>
    <w:rsid w:val="00BB3246"/>
    <w:rsid w:val="00BB3960"/>
    <w:rsid w:val="00BB3E7B"/>
    <w:rsid w:val="00BB3F9B"/>
    <w:rsid w:val="00BB4AD1"/>
    <w:rsid w:val="00BB5054"/>
    <w:rsid w:val="00BB6678"/>
    <w:rsid w:val="00BB7F7A"/>
    <w:rsid w:val="00BC0264"/>
    <w:rsid w:val="00BC0B1A"/>
    <w:rsid w:val="00BC3F3D"/>
    <w:rsid w:val="00BC51A7"/>
    <w:rsid w:val="00BC59E2"/>
    <w:rsid w:val="00BC5ADD"/>
    <w:rsid w:val="00BC5FAA"/>
    <w:rsid w:val="00BC60D9"/>
    <w:rsid w:val="00BC75CB"/>
    <w:rsid w:val="00BC76A0"/>
    <w:rsid w:val="00BC7801"/>
    <w:rsid w:val="00BC7C1F"/>
    <w:rsid w:val="00BD1341"/>
    <w:rsid w:val="00BD260F"/>
    <w:rsid w:val="00BD289B"/>
    <w:rsid w:val="00BD324F"/>
    <w:rsid w:val="00BD34FA"/>
    <w:rsid w:val="00BD517C"/>
    <w:rsid w:val="00BD57C4"/>
    <w:rsid w:val="00BD5CE6"/>
    <w:rsid w:val="00BD60FA"/>
    <w:rsid w:val="00BD6844"/>
    <w:rsid w:val="00BD798B"/>
    <w:rsid w:val="00BD7F6A"/>
    <w:rsid w:val="00BE03F1"/>
    <w:rsid w:val="00BE0F20"/>
    <w:rsid w:val="00BE116B"/>
    <w:rsid w:val="00BE1CE9"/>
    <w:rsid w:val="00BE2A2D"/>
    <w:rsid w:val="00BE31FC"/>
    <w:rsid w:val="00BE34DC"/>
    <w:rsid w:val="00BE3CEB"/>
    <w:rsid w:val="00BE3D42"/>
    <w:rsid w:val="00BE3DC2"/>
    <w:rsid w:val="00BE3E4C"/>
    <w:rsid w:val="00BE50A6"/>
    <w:rsid w:val="00BE55CD"/>
    <w:rsid w:val="00BE56C2"/>
    <w:rsid w:val="00BE5EB3"/>
    <w:rsid w:val="00BE6191"/>
    <w:rsid w:val="00BE673A"/>
    <w:rsid w:val="00BF0742"/>
    <w:rsid w:val="00BF0945"/>
    <w:rsid w:val="00BF1151"/>
    <w:rsid w:val="00BF25E4"/>
    <w:rsid w:val="00BF2961"/>
    <w:rsid w:val="00BF2BA0"/>
    <w:rsid w:val="00BF35AA"/>
    <w:rsid w:val="00BF3629"/>
    <w:rsid w:val="00BF3746"/>
    <w:rsid w:val="00BF3A65"/>
    <w:rsid w:val="00BF3DF7"/>
    <w:rsid w:val="00BF44A4"/>
    <w:rsid w:val="00BF6AED"/>
    <w:rsid w:val="00BF6ED7"/>
    <w:rsid w:val="00BF7266"/>
    <w:rsid w:val="00BF7BA0"/>
    <w:rsid w:val="00BF7EA2"/>
    <w:rsid w:val="00BF7FB2"/>
    <w:rsid w:val="00C00447"/>
    <w:rsid w:val="00C0121C"/>
    <w:rsid w:val="00C0309C"/>
    <w:rsid w:val="00C03BA7"/>
    <w:rsid w:val="00C03E46"/>
    <w:rsid w:val="00C041AB"/>
    <w:rsid w:val="00C04A14"/>
    <w:rsid w:val="00C05605"/>
    <w:rsid w:val="00C05F08"/>
    <w:rsid w:val="00C05F6B"/>
    <w:rsid w:val="00C060C2"/>
    <w:rsid w:val="00C06A30"/>
    <w:rsid w:val="00C10025"/>
    <w:rsid w:val="00C10028"/>
    <w:rsid w:val="00C10368"/>
    <w:rsid w:val="00C105CB"/>
    <w:rsid w:val="00C12DF2"/>
    <w:rsid w:val="00C12EAE"/>
    <w:rsid w:val="00C133E9"/>
    <w:rsid w:val="00C1395C"/>
    <w:rsid w:val="00C13AA4"/>
    <w:rsid w:val="00C13E55"/>
    <w:rsid w:val="00C14AE3"/>
    <w:rsid w:val="00C14EBB"/>
    <w:rsid w:val="00C1510B"/>
    <w:rsid w:val="00C166FF"/>
    <w:rsid w:val="00C1684D"/>
    <w:rsid w:val="00C16E19"/>
    <w:rsid w:val="00C17353"/>
    <w:rsid w:val="00C207CE"/>
    <w:rsid w:val="00C2112D"/>
    <w:rsid w:val="00C21CB7"/>
    <w:rsid w:val="00C21E7A"/>
    <w:rsid w:val="00C22BB2"/>
    <w:rsid w:val="00C22C90"/>
    <w:rsid w:val="00C23434"/>
    <w:rsid w:val="00C23951"/>
    <w:rsid w:val="00C241DB"/>
    <w:rsid w:val="00C24206"/>
    <w:rsid w:val="00C24D97"/>
    <w:rsid w:val="00C260E5"/>
    <w:rsid w:val="00C26269"/>
    <w:rsid w:val="00C264B7"/>
    <w:rsid w:val="00C2688B"/>
    <w:rsid w:val="00C27BD2"/>
    <w:rsid w:val="00C30313"/>
    <w:rsid w:val="00C307FD"/>
    <w:rsid w:val="00C30906"/>
    <w:rsid w:val="00C30F7C"/>
    <w:rsid w:val="00C322D7"/>
    <w:rsid w:val="00C338D0"/>
    <w:rsid w:val="00C33DD6"/>
    <w:rsid w:val="00C33E7A"/>
    <w:rsid w:val="00C34018"/>
    <w:rsid w:val="00C3525F"/>
    <w:rsid w:val="00C35D9C"/>
    <w:rsid w:val="00C4199A"/>
    <w:rsid w:val="00C42599"/>
    <w:rsid w:val="00C42BB6"/>
    <w:rsid w:val="00C42BFD"/>
    <w:rsid w:val="00C43E44"/>
    <w:rsid w:val="00C44F35"/>
    <w:rsid w:val="00C47235"/>
    <w:rsid w:val="00C47554"/>
    <w:rsid w:val="00C47B21"/>
    <w:rsid w:val="00C47C12"/>
    <w:rsid w:val="00C501FF"/>
    <w:rsid w:val="00C502D3"/>
    <w:rsid w:val="00C50C69"/>
    <w:rsid w:val="00C512FA"/>
    <w:rsid w:val="00C51F66"/>
    <w:rsid w:val="00C52E8E"/>
    <w:rsid w:val="00C52F86"/>
    <w:rsid w:val="00C5318E"/>
    <w:rsid w:val="00C5356B"/>
    <w:rsid w:val="00C53E51"/>
    <w:rsid w:val="00C5437C"/>
    <w:rsid w:val="00C5493B"/>
    <w:rsid w:val="00C55E69"/>
    <w:rsid w:val="00C57ADE"/>
    <w:rsid w:val="00C6069D"/>
    <w:rsid w:val="00C608FB"/>
    <w:rsid w:val="00C610DC"/>
    <w:rsid w:val="00C61423"/>
    <w:rsid w:val="00C62969"/>
    <w:rsid w:val="00C62CE1"/>
    <w:rsid w:val="00C65521"/>
    <w:rsid w:val="00C66EC5"/>
    <w:rsid w:val="00C67191"/>
    <w:rsid w:val="00C676C1"/>
    <w:rsid w:val="00C67948"/>
    <w:rsid w:val="00C711A4"/>
    <w:rsid w:val="00C72659"/>
    <w:rsid w:val="00C73198"/>
    <w:rsid w:val="00C74C52"/>
    <w:rsid w:val="00C76C77"/>
    <w:rsid w:val="00C77121"/>
    <w:rsid w:val="00C7771E"/>
    <w:rsid w:val="00C77857"/>
    <w:rsid w:val="00C77A5F"/>
    <w:rsid w:val="00C801DF"/>
    <w:rsid w:val="00C8062E"/>
    <w:rsid w:val="00C80922"/>
    <w:rsid w:val="00C80D98"/>
    <w:rsid w:val="00C81657"/>
    <w:rsid w:val="00C81966"/>
    <w:rsid w:val="00C8237F"/>
    <w:rsid w:val="00C82533"/>
    <w:rsid w:val="00C8297E"/>
    <w:rsid w:val="00C82D9B"/>
    <w:rsid w:val="00C83134"/>
    <w:rsid w:val="00C83D52"/>
    <w:rsid w:val="00C84062"/>
    <w:rsid w:val="00C8456E"/>
    <w:rsid w:val="00C847BE"/>
    <w:rsid w:val="00C861B7"/>
    <w:rsid w:val="00C86B31"/>
    <w:rsid w:val="00C875D0"/>
    <w:rsid w:val="00C90CA7"/>
    <w:rsid w:val="00C91B30"/>
    <w:rsid w:val="00C92CA5"/>
    <w:rsid w:val="00C938BC"/>
    <w:rsid w:val="00C93D44"/>
    <w:rsid w:val="00C941ED"/>
    <w:rsid w:val="00C968F9"/>
    <w:rsid w:val="00C96A04"/>
    <w:rsid w:val="00CA0954"/>
    <w:rsid w:val="00CA13AB"/>
    <w:rsid w:val="00CA14E6"/>
    <w:rsid w:val="00CA18FA"/>
    <w:rsid w:val="00CA2156"/>
    <w:rsid w:val="00CA2C49"/>
    <w:rsid w:val="00CA32CB"/>
    <w:rsid w:val="00CA36F5"/>
    <w:rsid w:val="00CA4988"/>
    <w:rsid w:val="00CA51AE"/>
    <w:rsid w:val="00CA5658"/>
    <w:rsid w:val="00CA59A9"/>
    <w:rsid w:val="00CA5DC3"/>
    <w:rsid w:val="00CB0550"/>
    <w:rsid w:val="00CB05E7"/>
    <w:rsid w:val="00CB0945"/>
    <w:rsid w:val="00CB0EB4"/>
    <w:rsid w:val="00CB11C6"/>
    <w:rsid w:val="00CB199E"/>
    <w:rsid w:val="00CB2026"/>
    <w:rsid w:val="00CB22E7"/>
    <w:rsid w:val="00CB2D4C"/>
    <w:rsid w:val="00CB3687"/>
    <w:rsid w:val="00CB3B6B"/>
    <w:rsid w:val="00CB3C46"/>
    <w:rsid w:val="00CB47A0"/>
    <w:rsid w:val="00CB49E9"/>
    <w:rsid w:val="00CB5283"/>
    <w:rsid w:val="00CB52B3"/>
    <w:rsid w:val="00CB5CCC"/>
    <w:rsid w:val="00CB6D0A"/>
    <w:rsid w:val="00CC014B"/>
    <w:rsid w:val="00CC01EE"/>
    <w:rsid w:val="00CC1E72"/>
    <w:rsid w:val="00CC1FF0"/>
    <w:rsid w:val="00CC3915"/>
    <w:rsid w:val="00CC3FE2"/>
    <w:rsid w:val="00CC4AE8"/>
    <w:rsid w:val="00CC603A"/>
    <w:rsid w:val="00CC6C3A"/>
    <w:rsid w:val="00CC6EB5"/>
    <w:rsid w:val="00CC6F76"/>
    <w:rsid w:val="00CC7182"/>
    <w:rsid w:val="00CC7621"/>
    <w:rsid w:val="00CC7DFB"/>
    <w:rsid w:val="00CD0347"/>
    <w:rsid w:val="00CD0ABC"/>
    <w:rsid w:val="00CD131B"/>
    <w:rsid w:val="00CD1FFE"/>
    <w:rsid w:val="00CD30BB"/>
    <w:rsid w:val="00CD5C5F"/>
    <w:rsid w:val="00CD657D"/>
    <w:rsid w:val="00CD678B"/>
    <w:rsid w:val="00CD68C7"/>
    <w:rsid w:val="00CD6ED4"/>
    <w:rsid w:val="00CD706B"/>
    <w:rsid w:val="00CD715A"/>
    <w:rsid w:val="00CD7178"/>
    <w:rsid w:val="00CD783E"/>
    <w:rsid w:val="00CD7FE2"/>
    <w:rsid w:val="00CE0CEB"/>
    <w:rsid w:val="00CE4195"/>
    <w:rsid w:val="00CE4486"/>
    <w:rsid w:val="00CE4538"/>
    <w:rsid w:val="00CE4E15"/>
    <w:rsid w:val="00CE54AB"/>
    <w:rsid w:val="00CE7059"/>
    <w:rsid w:val="00CE77BA"/>
    <w:rsid w:val="00CE7F2F"/>
    <w:rsid w:val="00CF00F2"/>
    <w:rsid w:val="00CF02F0"/>
    <w:rsid w:val="00CF042E"/>
    <w:rsid w:val="00CF1026"/>
    <w:rsid w:val="00CF1BCF"/>
    <w:rsid w:val="00CF26C8"/>
    <w:rsid w:val="00CF276C"/>
    <w:rsid w:val="00CF27E3"/>
    <w:rsid w:val="00CF2BA9"/>
    <w:rsid w:val="00CF4D3F"/>
    <w:rsid w:val="00CF6805"/>
    <w:rsid w:val="00CF704C"/>
    <w:rsid w:val="00D0075D"/>
    <w:rsid w:val="00D00F52"/>
    <w:rsid w:val="00D00FE8"/>
    <w:rsid w:val="00D01162"/>
    <w:rsid w:val="00D01290"/>
    <w:rsid w:val="00D014F7"/>
    <w:rsid w:val="00D01D55"/>
    <w:rsid w:val="00D02A80"/>
    <w:rsid w:val="00D02E9D"/>
    <w:rsid w:val="00D02F03"/>
    <w:rsid w:val="00D04511"/>
    <w:rsid w:val="00D04945"/>
    <w:rsid w:val="00D05125"/>
    <w:rsid w:val="00D054FD"/>
    <w:rsid w:val="00D05E08"/>
    <w:rsid w:val="00D060CD"/>
    <w:rsid w:val="00D065A9"/>
    <w:rsid w:val="00D0685A"/>
    <w:rsid w:val="00D06E6F"/>
    <w:rsid w:val="00D075C6"/>
    <w:rsid w:val="00D07623"/>
    <w:rsid w:val="00D07B43"/>
    <w:rsid w:val="00D07F6E"/>
    <w:rsid w:val="00D07FA7"/>
    <w:rsid w:val="00D10041"/>
    <w:rsid w:val="00D1273A"/>
    <w:rsid w:val="00D128AF"/>
    <w:rsid w:val="00D128C1"/>
    <w:rsid w:val="00D129A3"/>
    <w:rsid w:val="00D136B0"/>
    <w:rsid w:val="00D1387C"/>
    <w:rsid w:val="00D139C5"/>
    <w:rsid w:val="00D13A34"/>
    <w:rsid w:val="00D13DF3"/>
    <w:rsid w:val="00D14241"/>
    <w:rsid w:val="00D14358"/>
    <w:rsid w:val="00D14981"/>
    <w:rsid w:val="00D14995"/>
    <w:rsid w:val="00D14F5C"/>
    <w:rsid w:val="00D15D7B"/>
    <w:rsid w:val="00D16252"/>
    <w:rsid w:val="00D167A3"/>
    <w:rsid w:val="00D16EEC"/>
    <w:rsid w:val="00D17117"/>
    <w:rsid w:val="00D17F70"/>
    <w:rsid w:val="00D17FF4"/>
    <w:rsid w:val="00D207E0"/>
    <w:rsid w:val="00D20995"/>
    <w:rsid w:val="00D20B06"/>
    <w:rsid w:val="00D21D2F"/>
    <w:rsid w:val="00D22981"/>
    <w:rsid w:val="00D22EA2"/>
    <w:rsid w:val="00D23BC7"/>
    <w:rsid w:val="00D2401B"/>
    <w:rsid w:val="00D2437B"/>
    <w:rsid w:val="00D24666"/>
    <w:rsid w:val="00D24A6B"/>
    <w:rsid w:val="00D24B8B"/>
    <w:rsid w:val="00D24D6E"/>
    <w:rsid w:val="00D25908"/>
    <w:rsid w:val="00D25AA8"/>
    <w:rsid w:val="00D26563"/>
    <w:rsid w:val="00D265EB"/>
    <w:rsid w:val="00D2756A"/>
    <w:rsid w:val="00D2785D"/>
    <w:rsid w:val="00D2796C"/>
    <w:rsid w:val="00D30384"/>
    <w:rsid w:val="00D30A66"/>
    <w:rsid w:val="00D30D04"/>
    <w:rsid w:val="00D3200E"/>
    <w:rsid w:val="00D32C3C"/>
    <w:rsid w:val="00D3359D"/>
    <w:rsid w:val="00D33902"/>
    <w:rsid w:val="00D34047"/>
    <w:rsid w:val="00D34239"/>
    <w:rsid w:val="00D34565"/>
    <w:rsid w:val="00D34ECE"/>
    <w:rsid w:val="00D35881"/>
    <w:rsid w:val="00D35B38"/>
    <w:rsid w:val="00D3601F"/>
    <w:rsid w:val="00D36997"/>
    <w:rsid w:val="00D36F33"/>
    <w:rsid w:val="00D37C20"/>
    <w:rsid w:val="00D37FCE"/>
    <w:rsid w:val="00D40661"/>
    <w:rsid w:val="00D40CE1"/>
    <w:rsid w:val="00D40DFB"/>
    <w:rsid w:val="00D41A35"/>
    <w:rsid w:val="00D42649"/>
    <w:rsid w:val="00D42813"/>
    <w:rsid w:val="00D446E9"/>
    <w:rsid w:val="00D47116"/>
    <w:rsid w:val="00D47849"/>
    <w:rsid w:val="00D50BA1"/>
    <w:rsid w:val="00D51708"/>
    <w:rsid w:val="00D52914"/>
    <w:rsid w:val="00D52CDE"/>
    <w:rsid w:val="00D52D6B"/>
    <w:rsid w:val="00D53145"/>
    <w:rsid w:val="00D54041"/>
    <w:rsid w:val="00D54235"/>
    <w:rsid w:val="00D54728"/>
    <w:rsid w:val="00D54B2E"/>
    <w:rsid w:val="00D54E02"/>
    <w:rsid w:val="00D54FF4"/>
    <w:rsid w:val="00D55C97"/>
    <w:rsid w:val="00D56370"/>
    <w:rsid w:val="00D5684C"/>
    <w:rsid w:val="00D57AB0"/>
    <w:rsid w:val="00D60AE4"/>
    <w:rsid w:val="00D618A7"/>
    <w:rsid w:val="00D61AFB"/>
    <w:rsid w:val="00D620F1"/>
    <w:rsid w:val="00D636D6"/>
    <w:rsid w:val="00D63F3A"/>
    <w:rsid w:val="00D6494A"/>
    <w:rsid w:val="00D65AF6"/>
    <w:rsid w:val="00D66EB3"/>
    <w:rsid w:val="00D67203"/>
    <w:rsid w:val="00D70A4A"/>
    <w:rsid w:val="00D7147C"/>
    <w:rsid w:val="00D714AA"/>
    <w:rsid w:val="00D71649"/>
    <w:rsid w:val="00D71AB8"/>
    <w:rsid w:val="00D71CD7"/>
    <w:rsid w:val="00D71CFB"/>
    <w:rsid w:val="00D735B3"/>
    <w:rsid w:val="00D74956"/>
    <w:rsid w:val="00D74A8B"/>
    <w:rsid w:val="00D74B1C"/>
    <w:rsid w:val="00D75BDE"/>
    <w:rsid w:val="00D76401"/>
    <w:rsid w:val="00D76664"/>
    <w:rsid w:val="00D773B1"/>
    <w:rsid w:val="00D77A98"/>
    <w:rsid w:val="00D77F01"/>
    <w:rsid w:val="00D808BA"/>
    <w:rsid w:val="00D81855"/>
    <w:rsid w:val="00D81992"/>
    <w:rsid w:val="00D8279E"/>
    <w:rsid w:val="00D82901"/>
    <w:rsid w:val="00D82AE5"/>
    <w:rsid w:val="00D831A4"/>
    <w:rsid w:val="00D837DC"/>
    <w:rsid w:val="00D83912"/>
    <w:rsid w:val="00D83ABC"/>
    <w:rsid w:val="00D84745"/>
    <w:rsid w:val="00D84DFD"/>
    <w:rsid w:val="00D84F52"/>
    <w:rsid w:val="00D852B5"/>
    <w:rsid w:val="00D8543A"/>
    <w:rsid w:val="00D858B9"/>
    <w:rsid w:val="00D86AC6"/>
    <w:rsid w:val="00D876A5"/>
    <w:rsid w:val="00D907B1"/>
    <w:rsid w:val="00D90BBF"/>
    <w:rsid w:val="00D917C3"/>
    <w:rsid w:val="00D9327A"/>
    <w:rsid w:val="00D937FA"/>
    <w:rsid w:val="00D93EA2"/>
    <w:rsid w:val="00D94335"/>
    <w:rsid w:val="00D94924"/>
    <w:rsid w:val="00D94B56"/>
    <w:rsid w:val="00D95FAD"/>
    <w:rsid w:val="00D9618C"/>
    <w:rsid w:val="00D97B41"/>
    <w:rsid w:val="00D97E58"/>
    <w:rsid w:val="00DA0662"/>
    <w:rsid w:val="00DA0B43"/>
    <w:rsid w:val="00DA0D56"/>
    <w:rsid w:val="00DA0DC8"/>
    <w:rsid w:val="00DA0FB5"/>
    <w:rsid w:val="00DA1E34"/>
    <w:rsid w:val="00DA2829"/>
    <w:rsid w:val="00DA2EE0"/>
    <w:rsid w:val="00DA2F64"/>
    <w:rsid w:val="00DA47ED"/>
    <w:rsid w:val="00DA63A6"/>
    <w:rsid w:val="00DA7B48"/>
    <w:rsid w:val="00DA7CE9"/>
    <w:rsid w:val="00DB02FE"/>
    <w:rsid w:val="00DB0B6D"/>
    <w:rsid w:val="00DB24EF"/>
    <w:rsid w:val="00DB3D33"/>
    <w:rsid w:val="00DB4AA4"/>
    <w:rsid w:val="00DB5BA2"/>
    <w:rsid w:val="00DB653D"/>
    <w:rsid w:val="00DB7195"/>
    <w:rsid w:val="00DB7BFC"/>
    <w:rsid w:val="00DC002D"/>
    <w:rsid w:val="00DC01CC"/>
    <w:rsid w:val="00DC030D"/>
    <w:rsid w:val="00DC03AD"/>
    <w:rsid w:val="00DC06AF"/>
    <w:rsid w:val="00DC1237"/>
    <w:rsid w:val="00DC153E"/>
    <w:rsid w:val="00DC1885"/>
    <w:rsid w:val="00DC18A7"/>
    <w:rsid w:val="00DC1C66"/>
    <w:rsid w:val="00DC249E"/>
    <w:rsid w:val="00DC2717"/>
    <w:rsid w:val="00DC3D41"/>
    <w:rsid w:val="00DC3FA4"/>
    <w:rsid w:val="00DC49D2"/>
    <w:rsid w:val="00DC547F"/>
    <w:rsid w:val="00DC5F38"/>
    <w:rsid w:val="00DC629C"/>
    <w:rsid w:val="00DC6569"/>
    <w:rsid w:val="00DC69AF"/>
    <w:rsid w:val="00DC69F8"/>
    <w:rsid w:val="00DC6A1F"/>
    <w:rsid w:val="00DC73F1"/>
    <w:rsid w:val="00DD1021"/>
    <w:rsid w:val="00DD115A"/>
    <w:rsid w:val="00DD1E1F"/>
    <w:rsid w:val="00DD28C1"/>
    <w:rsid w:val="00DD2972"/>
    <w:rsid w:val="00DD2E38"/>
    <w:rsid w:val="00DD5687"/>
    <w:rsid w:val="00DD5721"/>
    <w:rsid w:val="00DD5DE7"/>
    <w:rsid w:val="00DD68F5"/>
    <w:rsid w:val="00DD6AE9"/>
    <w:rsid w:val="00DD6CBB"/>
    <w:rsid w:val="00DE02CA"/>
    <w:rsid w:val="00DE0B95"/>
    <w:rsid w:val="00DE2BE5"/>
    <w:rsid w:val="00DE2D46"/>
    <w:rsid w:val="00DE3BCF"/>
    <w:rsid w:val="00DE3E4F"/>
    <w:rsid w:val="00DE3F07"/>
    <w:rsid w:val="00DE5410"/>
    <w:rsid w:val="00DE56FA"/>
    <w:rsid w:val="00DE5D9F"/>
    <w:rsid w:val="00DE684D"/>
    <w:rsid w:val="00DE6AC3"/>
    <w:rsid w:val="00DE7BC5"/>
    <w:rsid w:val="00DE7C17"/>
    <w:rsid w:val="00DE7CCD"/>
    <w:rsid w:val="00DF0628"/>
    <w:rsid w:val="00DF1ACC"/>
    <w:rsid w:val="00DF2201"/>
    <w:rsid w:val="00DF32A7"/>
    <w:rsid w:val="00DF3723"/>
    <w:rsid w:val="00DF416A"/>
    <w:rsid w:val="00DF46C2"/>
    <w:rsid w:val="00DF4FA6"/>
    <w:rsid w:val="00DF6917"/>
    <w:rsid w:val="00DF6D26"/>
    <w:rsid w:val="00DF6D56"/>
    <w:rsid w:val="00DF7565"/>
    <w:rsid w:val="00DF78D7"/>
    <w:rsid w:val="00E0083D"/>
    <w:rsid w:val="00E017DE"/>
    <w:rsid w:val="00E0260B"/>
    <w:rsid w:val="00E030E5"/>
    <w:rsid w:val="00E038AE"/>
    <w:rsid w:val="00E04961"/>
    <w:rsid w:val="00E04EFD"/>
    <w:rsid w:val="00E052C7"/>
    <w:rsid w:val="00E05389"/>
    <w:rsid w:val="00E0576E"/>
    <w:rsid w:val="00E059D0"/>
    <w:rsid w:val="00E06E78"/>
    <w:rsid w:val="00E074F2"/>
    <w:rsid w:val="00E07836"/>
    <w:rsid w:val="00E10B99"/>
    <w:rsid w:val="00E111CA"/>
    <w:rsid w:val="00E11F53"/>
    <w:rsid w:val="00E12652"/>
    <w:rsid w:val="00E139B9"/>
    <w:rsid w:val="00E143C3"/>
    <w:rsid w:val="00E148CD"/>
    <w:rsid w:val="00E15E1C"/>
    <w:rsid w:val="00E16290"/>
    <w:rsid w:val="00E16668"/>
    <w:rsid w:val="00E17D2C"/>
    <w:rsid w:val="00E21276"/>
    <w:rsid w:val="00E219F2"/>
    <w:rsid w:val="00E22DDC"/>
    <w:rsid w:val="00E22EE5"/>
    <w:rsid w:val="00E237CE"/>
    <w:rsid w:val="00E24797"/>
    <w:rsid w:val="00E25642"/>
    <w:rsid w:val="00E25C1D"/>
    <w:rsid w:val="00E262CC"/>
    <w:rsid w:val="00E263C0"/>
    <w:rsid w:val="00E26CB5"/>
    <w:rsid w:val="00E26CC2"/>
    <w:rsid w:val="00E2704D"/>
    <w:rsid w:val="00E30C6C"/>
    <w:rsid w:val="00E31247"/>
    <w:rsid w:val="00E314F7"/>
    <w:rsid w:val="00E31999"/>
    <w:rsid w:val="00E3274B"/>
    <w:rsid w:val="00E3324C"/>
    <w:rsid w:val="00E3339D"/>
    <w:rsid w:val="00E3368E"/>
    <w:rsid w:val="00E33988"/>
    <w:rsid w:val="00E341FA"/>
    <w:rsid w:val="00E3424D"/>
    <w:rsid w:val="00E3430B"/>
    <w:rsid w:val="00E349D8"/>
    <w:rsid w:val="00E350BA"/>
    <w:rsid w:val="00E359AB"/>
    <w:rsid w:val="00E35EAE"/>
    <w:rsid w:val="00E37188"/>
    <w:rsid w:val="00E40D58"/>
    <w:rsid w:val="00E41D58"/>
    <w:rsid w:val="00E4277D"/>
    <w:rsid w:val="00E427FB"/>
    <w:rsid w:val="00E42962"/>
    <w:rsid w:val="00E430ED"/>
    <w:rsid w:val="00E43238"/>
    <w:rsid w:val="00E4367F"/>
    <w:rsid w:val="00E436D5"/>
    <w:rsid w:val="00E44A39"/>
    <w:rsid w:val="00E45198"/>
    <w:rsid w:val="00E456DF"/>
    <w:rsid w:val="00E4621B"/>
    <w:rsid w:val="00E4685A"/>
    <w:rsid w:val="00E5051B"/>
    <w:rsid w:val="00E507C9"/>
    <w:rsid w:val="00E520D7"/>
    <w:rsid w:val="00E5363F"/>
    <w:rsid w:val="00E53B3A"/>
    <w:rsid w:val="00E55A63"/>
    <w:rsid w:val="00E5610F"/>
    <w:rsid w:val="00E5666B"/>
    <w:rsid w:val="00E566DE"/>
    <w:rsid w:val="00E57276"/>
    <w:rsid w:val="00E57791"/>
    <w:rsid w:val="00E579D8"/>
    <w:rsid w:val="00E6019D"/>
    <w:rsid w:val="00E607AB"/>
    <w:rsid w:val="00E6085C"/>
    <w:rsid w:val="00E60F60"/>
    <w:rsid w:val="00E61954"/>
    <w:rsid w:val="00E6280F"/>
    <w:rsid w:val="00E63498"/>
    <w:rsid w:val="00E63A84"/>
    <w:rsid w:val="00E64D10"/>
    <w:rsid w:val="00E6512F"/>
    <w:rsid w:val="00E66000"/>
    <w:rsid w:val="00E663C3"/>
    <w:rsid w:val="00E67D75"/>
    <w:rsid w:val="00E70B2B"/>
    <w:rsid w:val="00E70E8C"/>
    <w:rsid w:val="00E71272"/>
    <w:rsid w:val="00E718AF"/>
    <w:rsid w:val="00E73C19"/>
    <w:rsid w:val="00E74015"/>
    <w:rsid w:val="00E742D2"/>
    <w:rsid w:val="00E7437D"/>
    <w:rsid w:val="00E7451B"/>
    <w:rsid w:val="00E74FC6"/>
    <w:rsid w:val="00E75328"/>
    <w:rsid w:val="00E758B1"/>
    <w:rsid w:val="00E75A26"/>
    <w:rsid w:val="00E75BCB"/>
    <w:rsid w:val="00E7653C"/>
    <w:rsid w:val="00E76D85"/>
    <w:rsid w:val="00E773B7"/>
    <w:rsid w:val="00E82139"/>
    <w:rsid w:val="00E82579"/>
    <w:rsid w:val="00E8290B"/>
    <w:rsid w:val="00E8384F"/>
    <w:rsid w:val="00E83A60"/>
    <w:rsid w:val="00E84816"/>
    <w:rsid w:val="00E85580"/>
    <w:rsid w:val="00E8579A"/>
    <w:rsid w:val="00E85BD5"/>
    <w:rsid w:val="00E86130"/>
    <w:rsid w:val="00E86546"/>
    <w:rsid w:val="00E865DE"/>
    <w:rsid w:val="00E87CE9"/>
    <w:rsid w:val="00E901AA"/>
    <w:rsid w:val="00E918E2"/>
    <w:rsid w:val="00E92B6E"/>
    <w:rsid w:val="00E93036"/>
    <w:rsid w:val="00E934BA"/>
    <w:rsid w:val="00E9379B"/>
    <w:rsid w:val="00E93BE4"/>
    <w:rsid w:val="00E95454"/>
    <w:rsid w:val="00E9560A"/>
    <w:rsid w:val="00E95C35"/>
    <w:rsid w:val="00E96D28"/>
    <w:rsid w:val="00E9735C"/>
    <w:rsid w:val="00E978AB"/>
    <w:rsid w:val="00E97CFD"/>
    <w:rsid w:val="00EA0229"/>
    <w:rsid w:val="00EA032E"/>
    <w:rsid w:val="00EA0F9C"/>
    <w:rsid w:val="00EA108F"/>
    <w:rsid w:val="00EA1289"/>
    <w:rsid w:val="00EA19D3"/>
    <w:rsid w:val="00EA39C8"/>
    <w:rsid w:val="00EA414D"/>
    <w:rsid w:val="00EA564B"/>
    <w:rsid w:val="00EA6176"/>
    <w:rsid w:val="00EA64BA"/>
    <w:rsid w:val="00EA7052"/>
    <w:rsid w:val="00EA788F"/>
    <w:rsid w:val="00EA7945"/>
    <w:rsid w:val="00EA7C29"/>
    <w:rsid w:val="00EB08D0"/>
    <w:rsid w:val="00EB0D18"/>
    <w:rsid w:val="00EB166A"/>
    <w:rsid w:val="00EB169C"/>
    <w:rsid w:val="00EB1C53"/>
    <w:rsid w:val="00EB3175"/>
    <w:rsid w:val="00EB31D1"/>
    <w:rsid w:val="00EB3C11"/>
    <w:rsid w:val="00EB4B2F"/>
    <w:rsid w:val="00EB5218"/>
    <w:rsid w:val="00EB5355"/>
    <w:rsid w:val="00EB5704"/>
    <w:rsid w:val="00EB61A1"/>
    <w:rsid w:val="00EB63CA"/>
    <w:rsid w:val="00EB66F6"/>
    <w:rsid w:val="00EB6BAB"/>
    <w:rsid w:val="00EB6F0C"/>
    <w:rsid w:val="00EB7B54"/>
    <w:rsid w:val="00EC06D3"/>
    <w:rsid w:val="00EC1177"/>
    <w:rsid w:val="00EC2FC9"/>
    <w:rsid w:val="00EC30F2"/>
    <w:rsid w:val="00EC33B6"/>
    <w:rsid w:val="00EC3944"/>
    <w:rsid w:val="00EC4163"/>
    <w:rsid w:val="00EC53FA"/>
    <w:rsid w:val="00EC5C1F"/>
    <w:rsid w:val="00ED0022"/>
    <w:rsid w:val="00ED0B8E"/>
    <w:rsid w:val="00ED109F"/>
    <w:rsid w:val="00ED1706"/>
    <w:rsid w:val="00ED235E"/>
    <w:rsid w:val="00ED23CC"/>
    <w:rsid w:val="00ED2523"/>
    <w:rsid w:val="00ED335E"/>
    <w:rsid w:val="00ED3CD6"/>
    <w:rsid w:val="00ED3D4D"/>
    <w:rsid w:val="00ED4874"/>
    <w:rsid w:val="00ED4D7E"/>
    <w:rsid w:val="00ED637F"/>
    <w:rsid w:val="00ED70BB"/>
    <w:rsid w:val="00EE1581"/>
    <w:rsid w:val="00EE2469"/>
    <w:rsid w:val="00EE2E1F"/>
    <w:rsid w:val="00EE34C8"/>
    <w:rsid w:val="00EE3623"/>
    <w:rsid w:val="00EE383C"/>
    <w:rsid w:val="00EE497D"/>
    <w:rsid w:val="00EE5588"/>
    <w:rsid w:val="00EE5F6A"/>
    <w:rsid w:val="00EE6158"/>
    <w:rsid w:val="00EE67D8"/>
    <w:rsid w:val="00EF0012"/>
    <w:rsid w:val="00EF0883"/>
    <w:rsid w:val="00EF15F6"/>
    <w:rsid w:val="00EF1C2F"/>
    <w:rsid w:val="00EF2E83"/>
    <w:rsid w:val="00EF383F"/>
    <w:rsid w:val="00EF3FB3"/>
    <w:rsid w:val="00EF4089"/>
    <w:rsid w:val="00EF464E"/>
    <w:rsid w:val="00EF4B72"/>
    <w:rsid w:val="00EF4ED3"/>
    <w:rsid w:val="00EF61FF"/>
    <w:rsid w:val="00EF62DF"/>
    <w:rsid w:val="00EF6BFC"/>
    <w:rsid w:val="00EF72F9"/>
    <w:rsid w:val="00F02040"/>
    <w:rsid w:val="00F029C8"/>
    <w:rsid w:val="00F03BEB"/>
    <w:rsid w:val="00F03FDD"/>
    <w:rsid w:val="00F0412E"/>
    <w:rsid w:val="00F048AD"/>
    <w:rsid w:val="00F04FD7"/>
    <w:rsid w:val="00F063C0"/>
    <w:rsid w:val="00F06FC8"/>
    <w:rsid w:val="00F076C7"/>
    <w:rsid w:val="00F07AFE"/>
    <w:rsid w:val="00F10705"/>
    <w:rsid w:val="00F10B68"/>
    <w:rsid w:val="00F1170F"/>
    <w:rsid w:val="00F11A13"/>
    <w:rsid w:val="00F12326"/>
    <w:rsid w:val="00F12833"/>
    <w:rsid w:val="00F134EC"/>
    <w:rsid w:val="00F13810"/>
    <w:rsid w:val="00F1439B"/>
    <w:rsid w:val="00F14443"/>
    <w:rsid w:val="00F1634D"/>
    <w:rsid w:val="00F163E6"/>
    <w:rsid w:val="00F16BF9"/>
    <w:rsid w:val="00F16FB5"/>
    <w:rsid w:val="00F16FCC"/>
    <w:rsid w:val="00F2042E"/>
    <w:rsid w:val="00F20C4D"/>
    <w:rsid w:val="00F210AC"/>
    <w:rsid w:val="00F2276A"/>
    <w:rsid w:val="00F2485A"/>
    <w:rsid w:val="00F25385"/>
    <w:rsid w:val="00F258F8"/>
    <w:rsid w:val="00F300BF"/>
    <w:rsid w:val="00F3076E"/>
    <w:rsid w:val="00F3130F"/>
    <w:rsid w:val="00F31509"/>
    <w:rsid w:val="00F31772"/>
    <w:rsid w:val="00F32291"/>
    <w:rsid w:val="00F327CE"/>
    <w:rsid w:val="00F3321A"/>
    <w:rsid w:val="00F33509"/>
    <w:rsid w:val="00F33E7E"/>
    <w:rsid w:val="00F34051"/>
    <w:rsid w:val="00F343EF"/>
    <w:rsid w:val="00F35463"/>
    <w:rsid w:val="00F35D34"/>
    <w:rsid w:val="00F36921"/>
    <w:rsid w:val="00F36B41"/>
    <w:rsid w:val="00F36C88"/>
    <w:rsid w:val="00F36FE7"/>
    <w:rsid w:val="00F37589"/>
    <w:rsid w:val="00F37703"/>
    <w:rsid w:val="00F37883"/>
    <w:rsid w:val="00F37BCA"/>
    <w:rsid w:val="00F37C5B"/>
    <w:rsid w:val="00F37DAB"/>
    <w:rsid w:val="00F40172"/>
    <w:rsid w:val="00F40D1F"/>
    <w:rsid w:val="00F413FD"/>
    <w:rsid w:val="00F417D9"/>
    <w:rsid w:val="00F418C7"/>
    <w:rsid w:val="00F41C2D"/>
    <w:rsid w:val="00F41E33"/>
    <w:rsid w:val="00F421F5"/>
    <w:rsid w:val="00F424D8"/>
    <w:rsid w:val="00F42637"/>
    <w:rsid w:val="00F429AE"/>
    <w:rsid w:val="00F4317D"/>
    <w:rsid w:val="00F43770"/>
    <w:rsid w:val="00F43B6F"/>
    <w:rsid w:val="00F43DFE"/>
    <w:rsid w:val="00F44E33"/>
    <w:rsid w:val="00F452B6"/>
    <w:rsid w:val="00F468EA"/>
    <w:rsid w:val="00F51262"/>
    <w:rsid w:val="00F51EDF"/>
    <w:rsid w:val="00F51F7A"/>
    <w:rsid w:val="00F522B7"/>
    <w:rsid w:val="00F52870"/>
    <w:rsid w:val="00F533F5"/>
    <w:rsid w:val="00F54D71"/>
    <w:rsid w:val="00F55821"/>
    <w:rsid w:val="00F55927"/>
    <w:rsid w:val="00F55A73"/>
    <w:rsid w:val="00F56065"/>
    <w:rsid w:val="00F5630F"/>
    <w:rsid w:val="00F577EA"/>
    <w:rsid w:val="00F6160C"/>
    <w:rsid w:val="00F61DC0"/>
    <w:rsid w:val="00F62F98"/>
    <w:rsid w:val="00F6394C"/>
    <w:rsid w:val="00F63CEA"/>
    <w:rsid w:val="00F6492A"/>
    <w:rsid w:val="00F6494C"/>
    <w:rsid w:val="00F64C1D"/>
    <w:rsid w:val="00F652E0"/>
    <w:rsid w:val="00F657A6"/>
    <w:rsid w:val="00F65EAF"/>
    <w:rsid w:val="00F67949"/>
    <w:rsid w:val="00F70A54"/>
    <w:rsid w:val="00F70A61"/>
    <w:rsid w:val="00F72A72"/>
    <w:rsid w:val="00F7394A"/>
    <w:rsid w:val="00F73D65"/>
    <w:rsid w:val="00F743F2"/>
    <w:rsid w:val="00F74603"/>
    <w:rsid w:val="00F74741"/>
    <w:rsid w:val="00F74D21"/>
    <w:rsid w:val="00F7534C"/>
    <w:rsid w:val="00F75500"/>
    <w:rsid w:val="00F75D19"/>
    <w:rsid w:val="00F76178"/>
    <w:rsid w:val="00F76608"/>
    <w:rsid w:val="00F76B66"/>
    <w:rsid w:val="00F76BD1"/>
    <w:rsid w:val="00F770EB"/>
    <w:rsid w:val="00F804AA"/>
    <w:rsid w:val="00F8105F"/>
    <w:rsid w:val="00F819F8"/>
    <w:rsid w:val="00F82463"/>
    <w:rsid w:val="00F83E7A"/>
    <w:rsid w:val="00F84006"/>
    <w:rsid w:val="00F858A8"/>
    <w:rsid w:val="00F85AE1"/>
    <w:rsid w:val="00F86829"/>
    <w:rsid w:val="00F86B84"/>
    <w:rsid w:val="00F8732C"/>
    <w:rsid w:val="00F87975"/>
    <w:rsid w:val="00F90403"/>
    <w:rsid w:val="00F90434"/>
    <w:rsid w:val="00F908CF"/>
    <w:rsid w:val="00F90942"/>
    <w:rsid w:val="00F9246B"/>
    <w:rsid w:val="00F93EF4"/>
    <w:rsid w:val="00F95076"/>
    <w:rsid w:val="00F95561"/>
    <w:rsid w:val="00F95573"/>
    <w:rsid w:val="00F95CC5"/>
    <w:rsid w:val="00F970F5"/>
    <w:rsid w:val="00F97601"/>
    <w:rsid w:val="00FA0373"/>
    <w:rsid w:val="00FA03E5"/>
    <w:rsid w:val="00FA0561"/>
    <w:rsid w:val="00FA0813"/>
    <w:rsid w:val="00FA14EC"/>
    <w:rsid w:val="00FA2115"/>
    <w:rsid w:val="00FA22B9"/>
    <w:rsid w:val="00FA2F83"/>
    <w:rsid w:val="00FA39E4"/>
    <w:rsid w:val="00FA47C9"/>
    <w:rsid w:val="00FA4999"/>
    <w:rsid w:val="00FA4AE2"/>
    <w:rsid w:val="00FA4C9F"/>
    <w:rsid w:val="00FA54FF"/>
    <w:rsid w:val="00FA57DB"/>
    <w:rsid w:val="00FA58D7"/>
    <w:rsid w:val="00FA5E85"/>
    <w:rsid w:val="00FA6AFF"/>
    <w:rsid w:val="00FA6E63"/>
    <w:rsid w:val="00FB0AE8"/>
    <w:rsid w:val="00FB0DBB"/>
    <w:rsid w:val="00FB1170"/>
    <w:rsid w:val="00FB209B"/>
    <w:rsid w:val="00FB26F7"/>
    <w:rsid w:val="00FB2A02"/>
    <w:rsid w:val="00FB2B8B"/>
    <w:rsid w:val="00FB3D36"/>
    <w:rsid w:val="00FB3D92"/>
    <w:rsid w:val="00FB448D"/>
    <w:rsid w:val="00FB483A"/>
    <w:rsid w:val="00FB661C"/>
    <w:rsid w:val="00FB720A"/>
    <w:rsid w:val="00FB7704"/>
    <w:rsid w:val="00FC01D0"/>
    <w:rsid w:val="00FC0989"/>
    <w:rsid w:val="00FC0ADE"/>
    <w:rsid w:val="00FC1706"/>
    <w:rsid w:val="00FC2450"/>
    <w:rsid w:val="00FC2E7D"/>
    <w:rsid w:val="00FC32EF"/>
    <w:rsid w:val="00FC4359"/>
    <w:rsid w:val="00FC46D3"/>
    <w:rsid w:val="00FC4D23"/>
    <w:rsid w:val="00FC4F64"/>
    <w:rsid w:val="00FC5342"/>
    <w:rsid w:val="00FC5A5B"/>
    <w:rsid w:val="00FC5F23"/>
    <w:rsid w:val="00FC61A9"/>
    <w:rsid w:val="00FC6333"/>
    <w:rsid w:val="00FC64E6"/>
    <w:rsid w:val="00FC68C5"/>
    <w:rsid w:val="00FC7938"/>
    <w:rsid w:val="00FC7B28"/>
    <w:rsid w:val="00FC7DA4"/>
    <w:rsid w:val="00FD0133"/>
    <w:rsid w:val="00FD0203"/>
    <w:rsid w:val="00FD0233"/>
    <w:rsid w:val="00FD07AB"/>
    <w:rsid w:val="00FD1512"/>
    <w:rsid w:val="00FD1AD2"/>
    <w:rsid w:val="00FD1D39"/>
    <w:rsid w:val="00FD2612"/>
    <w:rsid w:val="00FD420C"/>
    <w:rsid w:val="00FD4D19"/>
    <w:rsid w:val="00FD4DD9"/>
    <w:rsid w:val="00FD73B8"/>
    <w:rsid w:val="00FD799E"/>
    <w:rsid w:val="00FE0363"/>
    <w:rsid w:val="00FE12B8"/>
    <w:rsid w:val="00FE1760"/>
    <w:rsid w:val="00FE1C53"/>
    <w:rsid w:val="00FE1E9F"/>
    <w:rsid w:val="00FE2265"/>
    <w:rsid w:val="00FE24C6"/>
    <w:rsid w:val="00FE25B8"/>
    <w:rsid w:val="00FE3470"/>
    <w:rsid w:val="00FE3C9F"/>
    <w:rsid w:val="00FE44CD"/>
    <w:rsid w:val="00FE4C42"/>
    <w:rsid w:val="00FE4CD5"/>
    <w:rsid w:val="00FE570F"/>
    <w:rsid w:val="00FE58CA"/>
    <w:rsid w:val="00FE6DE9"/>
    <w:rsid w:val="00FE746F"/>
    <w:rsid w:val="00FE7C3E"/>
    <w:rsid w:val="00FF01CB"/>
    <w:rsid w:val="00FF07A8"/>
    <w:rsid w:val="00FF2770"/>
    <w:rsid w:val="00FF34B6"/>
    <w:rsid w:val="00FF3C75"/>
    <w:rsid w:val="00FF43C7"/>
    <w:rsid w:val="00FF50F9"/>
    <w:rsid w:val="00FF51DC"/>
    <w:rsid w:val="00FF5384"/>
    <w:rsid w:val="00FF60F7"/>
    <w:rsid w:val="00FF6C52"/>
    <w:rsid w:val="00FF7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BCB346"/>
  <w15:chartTrackingRefBased/>
  <w15:docId w15:val="{2ACB87B0-8767-4E38-A8B6-0DDCD350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ADD"/>
    <w:pPr>
      <w:widowControl w:val="0"/>
      <w:spacing w:line="312" w:lineRule="auto"/>
      <w:jc w:val="both"/>
    </w:pPr>
    <w:rPr>
      <w:rFonts w:ascii="Times New Roman" w:eastAsia="宋体" w:hAnsi="Times New Roman"/>
    </w:rPr>
  </w:style>
  <w:style w:type="paragraph" w:styleId="1">
    <w:name w:val="heading 1"/>
    <w:basedOn w:val="a"/>
    <w:next w:val="a"/>
    <w:link w:val="10"/>
    <w:uiPriority w:val="9"/>
    <w:qFormat/>
    <w:rsid w:val="002A6C26"/>
    <w:pPr>
      <w:keepNext/>
      <w:keepLines/>
      <w:spacing w:before="240" w:after="120"/>
      <w:jc w:val="left"/>
      <w:outlineLvl w:val="0"/>
    </w:pPr>
    <w:rPr>
      <w:rFonts w:ascii="Arial" w:eastAsia="黑体" w:hAnsi="Arial"/>
      <w:bCs/>
      <w:kern w:val="44"/>
      <w:sz w:val="30"/>
      <w:szCs w:val="44"/>
    </w:rPr>
  </w:style>
  <w:style w:type="paragraph" w:styleId="2">
    <w:name w:val="heading 2"/>
    <w:basedOn w:val="a"/>
    <w:next w:val="a"/>
    <w:link w:val="20"/>
    <w:uiPriority w:val="9"/>
    <w:unhideWhenUsed/>
    <w:qFormat/>
    <w:rsid w:val="002A6C26"/>
    <w:pPr>
      <w:keepNext/>
      <w:keepLines/>
      <w:spacing w:before="120" w:after="120"/>
      <w:outlineLvl w:val="1"/>
    </w:pPr>
    <w:rPr>
      <w:rFonts w:ascii="Arial" w:eastAsia="黑体" w:hAnsi="Arial" w:cstheme="majorBidi"/>
      <w:bCs/>
      <w:sz w:val="28"/>
      <w:szCs w:val="32"/>
    </w:rPr>
  </w:style>
  <w:style w:type="paragraph" w:styleId="3">
    <w:name w:val="heading 3"/>
    <w:basedOn w:val="a"/>
    <w:next w:val="a"/>
    <w:link w:val="30"/>
    <w:uiPriority w:val="9"/>
    <w:unhideWhenUsed/>
    <w:qFormat/>
    <w:rsid w:val="002A6C26"/>
    <w:pPr>
      <w:keepNext/>
      <w:keepLines/>
      <w:spacing w:before="120" w:after="60"/>
      <w:jc w:val="left"/>
      <w:outlineLvl w:val="2"/>
    </w:pPr>
    <w:rPr>
      <w:rFonts w:ascii="Arial" w:eastAsia="黑体" w:hAnsi="Arial"/>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124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5124A"/>
    <w:rPr>
      <w:sz w:val="18"/>
      <w:szCs w:val="18"/>
    </w:rPr>
  </w:style>
  <w:style w:type="paragraph" w:styleId="a5">
    <w:name w:val="footer"/>
    <w:basedOn w:val="a"/>
    <w:link w:val="a6"/>
    <w:uiPriority w:val="99"/>
    <w:unhideWhenUsed/>
    <w:rsid w:val="0085124A"/>
    <w:pPr>
      <w:tabs>
        <w:tab w:val="center" w:pos="4153"/>
        <w:tab w:val="right" w:pos="8306"/>
      </w:tabs>
      <w:snapToGrid w:val="0"/>
      <w:jc w:val="left"/>
    </w:pPr>
    <w:rPr>
      <w:sz w:val="18"/>
      <w:szCs w:val="18"/>
    </w:rPr>
  </w:style>
  <w:style w:type="character" w:customStyle="1" w:styleId="a6">
    <w:name w:val="页脚 字符"/>
    <w:basedOn w:val="a0"/>
    <w:link w:val="a5"/>
    <w:uiPriority w:val="99"/>
    <w:rsid w:val="0085124A"/>
    <w:rPr>
      <w:sz w:val="18"/>
      <w:szCs w:val="18"/>
    </w:rPr>
  </w:style>
  <w:style w:type="character" w:customStyle="1" w:styleId="10">
    <w:name w:val="标题 1 字符"/>
    <w:basedOn w:val="a0"/>
    <w:link w:val="1"/>
    <w:uiPriority w:val="9"/>
    <w:rsid w:val="002A6C26"/>
    <w:rPr>
      <w:rFonts w:ascii="Arial" w:eastAsia="黑体" w:hAnsi="Arial"/>
      <w:bCs/>
      <w:kern w:val="44"/>
      <w:sz w:val="30"/>
      <w:szCs w:val="44"/>
    </w:rPr>
  </w:style>
  <w:style w:type="paragraph" w:styleId="a7">
    <w:name w:val="List Paragraph"/>
    <w:basedOn w:val="a"/>
    <w:uiPriority w:val="34"/>
    <w:qFormat/>
    <w:rsid w:val="006A70DD"/>
    <w:pPr>
      <w:ind w:firstLineChars="200" w:firstLine="420"/>
    </w:pPr>
  </w:style>
  <w:style w:type="character" w:customStyle="1" w:styleId="20">
    <w:name w:val="标题 2 字符"/>
    <w:basedOn w:val="a0"/>
    <w:link w:val="2"/>
    <w:uiPriority w:val="9"/>
    <w:rsid w:val="002A6C26"/>
    <w:rPr>
      <w:rFonts w:ascii="Arial" w:eastAsia="黑体" w:hAnsi="Arial" w:cstheme="majorBidi"/>
      <w:bCs/>
      <w:sz w:val="28"/>
      <w:szCs w:val="32"/>
    </w:rPr>
  </w:style>
  <w:style w:type="paragraph" w:styleId="a8">
    <w:name w:val="Title"/>
    <w:basedOn w:val="a"/>
    <w:next w:val="a"/>
    <w:link w:val="a9"/>
    <w:uiPriority w:val="10"/>
    <w:qFormat/>
    <w:rsid w:val="002A6C26"/>
    <w:pPr>
      <w:spacing w:before="120" w:after="60"/>
      <w:jc w:val="center"/>
      <w:outlineLvl w:val="0"/>
    </w:pPr>
    <w:rPr>
      <w:rFonts w:ascii="Arial" w:eastAsia="黑体" w:hAnsi="Arial" w:cstheme="majorBidi"/>
      <w:bCs/>
      <w:sz w:val="32"/>
      <w:szCs w:val="32"/>
    </w:rPr>
  </w:style>
  <w:style w:type="character" w:customStyle="1" w:styleId="a9">
    <w:name w:val="标题 字符"/>
    <w:basedOn w:val="a0"/>
    <w:link w:val="a8"/>
    <w:uiPriority w:val="10"/>
    <w:rsid w:val="002A6C26"/>
    <w:rPr>
      <w:rFonts w:ascii="Arial" w:eastAsia="黑体" w:hAnsi="Arial" w:cstheme="majorBidi"/>
      <w:bCs/>
      <w:sz w:val="32"/>
      <w:szCs w:val="32"/>
    </w:rPr>
  </w:style>
  <w:style w:type="paragraph" w:styleId="aa">
    <w:name w:val="Subtitle"/>
    <w:basedOn w:val="a"/>
    <w:next w:val="a"/>
    <w:link w:val="ab"/>
    <w:uiPriority w:val="11"/>
    <w:qFormat/>
    <w:rsid w:val="002F635A"/>
    <w:pPr>
      <w:spacing w:before="120" w:after="60"/>
      <w:jc w:val="left"/>
      <w:outlineLvl w:val="0"/>
    </w:pPr>
    <w:rPr>
      <w:rFonts w:ascii="Arial" w:eastAsia="黑体" w:hAnsi="Arial"/>
      <w:bCs/>
      <w:kern w:val="28"/>
      <w:sz w:val="24"/>
      <w:szCs w:val="32"/>
    </w:rPr>
  </w:style>
  <w:style w:type="character" w:customStyle="1" w:styleId="ab">
    <w:name w:val="副标题 字符"/>
    <w:basedOn w:val="a0"/>
    <w:link w:val="aa"/>
    <w:uiPriority w:val="11"/>
    <w:rsid w:val="002F635A"/>
    <w:rPr>
      <w:rFonts w:ascii="Arial" w:eastAsia="黑体" w:hAnsi="Arial"/>
      <w:bCs/>
      <w:kern w:val="28"/>
      <w:sz w:val="24"/>
      <w:szCs w:val="32"/>
    </w:rPr>
  </w:style>
  <w:style w:type="character" w:customStyle="1" w:styleId="30">
    <w:name w:val="标题 3 字符"/>
    <w:basedOn w:val="a0"/>
    <w:link w:val="3"/>
    <w:uiPriority w:val="9"/>
    <w:rsid w:val="002A6C26"/>
    <w:rPr>
      <w:rFonts w:ascii="Arial" w:eastAsia="黑体" w:hAnsi="Arial"/>
      <w:bCs/>
      <w:sz w:val="24"/>
      <w:szCs w:val="32"/>
    </w:rPr>
  </w:style>
  <w:style w:type="character" w:styleId="ac">
    <w:name w:val="Hyperlink"/>
    <w:basedOn w:val="a0"/>
    <w:uiPriority w:val="99"/>
    <w:unhideWhenUsed/>
    <w:rsid w:val="00275E49"/>
    <w:rPr>
      <w:color w:val="0563C1" w:themeColor="hyperlink"/>
      <w:u w:val="single"/>
    </w:rPr>
  </w:style>
  <w:style w:type="character" w:customStyle="1" w:styleId="11">
    <w:name w:val="未处理的提及1"/>
    <w:basedOn w:val="a0"/>
    <w:uiPriority w:val="99"/>
    <w:semiHidden/>
    <w:unhideWhenUsed/>
    <w:rsid w:val="00275E49"/>
    <w:rPr>
      <w:color w:val="605E5C"/>
      <w:shd w:val="clear" w:color="auto" w:fill="E1DFDD"/>
    </w:rPr>
  </w:style>
  <w:style w:type="character" w:styleId="ad">
    <w:name w:val="Placeholder Text"/>
    <w:basedOn w:val="a0"/>
    <w:uiPriority w:val="99"/>
    <w:semiHidden/>
    <w:rsid w:val="00914DA8"/>
    <w:rPr>
      <w:color w:val="808080"/>
    </w:rPr>
  </w:style>
  <w:style w:type="table" w:styleId="ae">
    <w:name w:val="Table Grid"/>
    <w:basedOn w:val="a1"/>
    <w:uiPriority w:val="39"/>
    <w:rsid w:val="00D93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9343E2"/>
    <w:rPr>
      <w:sz w:val="21"/>
      <w:szCs w:val="21"/>
    </w:rPr>
  </w:style>
  <w:style w:type="paragraph" w:styleId="af0">
    <w:name w:val="annotation text"/>
    <w:basedOn w:val="a"/>
    <w:link w:val="af1"/>
    <w:uiPriority w:val="99"/>
    <w:semiHidden/>
    <w:unhideWhenUsed/>
    <w:rsid w:val="009343E2"/>
    <w:pPr>
      <w:jc w:val="left"/>
    </w:pPr>
  </w:style>
  <w:style w:type="character" w:customStyle="1" w:styleId="af1">
    <w:name w:val="批注文字 字符"/>
    <w:basedOn w:val="a0"/>
    <w:link w:val="af0"/>
    <w:uiPriority w:val="99"/>
    <w:semiHidden/>
    <w:rsid w:val="009343E2"/>
    <w:rPr>
      <w:rFonts w:ascii="Times New Roman" w:eastAsia="宋体" w:hAnsi="Times New Roman"/>
    </w:rPr>
  </w:style>
  <w:style w:type="paragraph" w:styleId="af2">
    <w:name w:val="annotation subject"/>
    <w:basedOn w:val="af0"/>
    <w:next w:val="af0"/>
    <w:link w:val="af3"/>
    <w:uiPriority w:val="99"/>
    <w:semiHidden/>
    <w:unhideWhenUsed/>
    <w:rsid w:val="009343E2"/>
    <w:rPr>
      <w:b/>
      <w:bCs/>
    </w:rPr>
  </w:style>
  <w:style w:type="character" w:customStyle="1" w:styleId="af3">
    <w:name w:val="批注主题 字符"/>
    <w:basedOn w:val="af1"/>
    <w:link w:val="af2"/>
    <w:uiPriority w:val="99"/>
    <w:semiHidden/>
    <w:rsid w:val="009343E2"/>
    <w:rPr>
      <w:rFonts w:ascii="Times New Roman" w:eastAsia="宋体" w:hAnsi="Times New Roman"/>
      <w:b/>
      <w:bCs/>
    </w:rPr>
  </w:style>
  <w:style w:type="paragraph" w:styleId="af4">
    <w:name w:val="Balloon Text"/>
    <w:basedOn w:val="a"/>
    <w:link w:val="af5"/>
    <w:uiPriority w:val="99"/>
    <w:semiHidden/>
    <w:unhideWhenUsed/>
    <w:rsid w:val="009343E2"/>
    <w:pPr>
      <w:spacing w:line="240" w:lineRule="auto"/>
    </w:pPr>
    <w:rPr>
      <w:sz w:val="18"/>
      <w:szCs w:val="18"/>
    </w:rPr>
  </w:style>
  <w:style w:type="character" w:customStyle="1" w:styleId="af5">
    <w:name w:val="批注框文本 字符"/>
    <w:basedOn w:val="a0"/>
    <w:link w:val="af4"/>
    <w:uiPriority w:val="99"/>
    <w:semiHidden/>
    <w:rsid w:val="009343E2"/>
    <w:rPr>
      <w:rFonts w:ascii="Times New Roman" w:eastAsia="宋体" w:hAnsi="Times New Roman"/>
      <w:sz w:val="18"/>
      <w:szCs w:val="18"/>
    </w:rPr>
  </w:style>
  <w:style w:type="paragraph" w:styleId="af6">
    <w:name w:val="Revision"/>
    <w:hidden/>
    <w:uiPriority w:val="99"/>
    <w:semiHidden/>
    <w:rsid w:val="009A59FF"/>
    <w:rPr>
      <w:rFonts w:ascii="Times New Roman" w:eastAsia="宋体" w:hAnsi="Times New Roman"/>
    </w:rPr>
  </w:style>
  <w:style w:type="character" w:customStyle="1" w:styleId="21">
    <w:name w:val="未处理的提及2"/>
    <w:basedOn w:val="a0"/>
    <w:uiPriority w:val="99"/>
    <w:semiHidden/>
    <w:unhideWhenUsed/>
    <w:rsid w:val="009F2C3D"/>
    <w:rPr>
      <w:color w:val="605E5C"/>
      <w:shd w:val="clear" w:color="auto" w:fill="E1DFDD"/>
    </w:rPr>
  </w:style>
  <w:style w:type="character" w:customStyle="1" w:styleId="31">
    <w:name w:val="未处理的提及3"/>
    <w:basedOn w:val="a0"/>
    <w:uiPriority w:val="99"/>
    <w:semiHidden/>
    <w:unhideWhenUsed/>
    <w:rsid w:val="00100AC2"/>
    <w:rPr>
      <w:color w:val="605E5C"/>
      <w:shd w:val="clear" w:color="auto" w:fill="E1DFDD"/>
    </w:rPr>
  </w:style>
  <w:style w:type="character" w:styleId="af7">
    <w:name w:val="line number"/>
    <w:basedOn w:val="a0"/>
    <w:uiPriority w:val="99"/>
    <w:semiHidden/>
    <w:unhideWhenUsed/>
    <w:rsid w:val="00540C00"/>
  </w:style>
  <w:style w:type="character" w:styleId="af8">
    <w:name w:val="Emphasis"/>
    <w:basedOn w:val="a0"/>
    <w:uiPriority w:val="20"/>
    <w:qFormat/>
    <w:rsid w:val="009A6B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4097">
      <w:bodyDiv w:val="1"/>
      <w:marLeft w:val="0"/>
      <w:marRight w:val="0"/>
      <w:marTop w:val="0"/>
      <w:marBottom w:val="0"/>
      <w:divBdr>
        <w:top w:val="none" w:sz="0" w:space="0" w:color="auto"/>
        <w:left w:val="none" w:sz="0" w:space="0" w:color="auto"/>
        <w:bottom w:val="none" w:sz="0" w:space="0" w:color="auto"/>
        <w:right w:val="none" w:sz="0" w:space="0" w:color="auto"/>
      </w:divBdr>
    </w:div>
    <w:div w:id="67970964">
      <w:bodyDiv w:val="1"/>
      <w:marLeft w:val="0"/>
      <w:marRight w:val="0"/>
      <w:marTop w:val="0"/>
      <w:marBottom w:val="0"/>
      <w:divBdr>
        <w:top w:val="none" w:sz="0" w:space="0" w:color="auto"/>
        <w:left w:val="none" w:sz="0" w:space="0" w:color="auto"/>
        <w:bottom w:val="none" w:sz="0" w:space="0" w:color="auto"/>
        <w:right w:val="none" w:sz="0" w:space="0" w:color="auto"/>
      </w:divBdr>
    </w:div>
    <w:div w:id="98986587">
      <w:bodyDiv w:val="1"/>
      <w:marLeft w:val="0"/>
      <w:marRight w:val="0"/>
      <w:marTop w:val="0"/>
      <w:marBottom w:val="0"/>
      <w:divBdr>
        <w:top w:val="none" w:sz="0" w:space="0" w:color="auto"/>
        <w:left w:val="none" w:sz="0" w:space="0" w:color="auto"/>
        <w:bottom w:val="none" w:sz="0" w:space="0" w:color="auto"/>
        <w:right w:val="none" w:sz="0" w:space="0" w:color="auto"/>
      </w:divBdr>
    </w:div>
    <w:div w:id="155387250">
      <w:bodyDiv w:val="1"/>
      <w:marLeft w:val="0"/>
      <w:marRight w:val="0"/>
      <w:marTop w:val="0"/>
      <w:marBottom w:val="0"/>
      <w:divBdr>
        <w:top w:val="none" w:sz="0" w:space="0" w:color="auto"/>
        <w:left w:val="none" w:sz="0" w:space="0" w:color="auto"/>
        <w:bottom w:val="none" w:sz="0" w:space="0" w:color="auto"/>
        <w:right w:val="none" w:sz="0" w:space="0" w:color="auto"/>
      </w:divBdr>
    </w:div>
    <w:div w:id="194463807">
      <w:bodyDiv w:val="1"/>
      <w:marLeft w:val="0"/>
      <w:marRight w:val="0"/>
      <w:marTop w:val="0"/>
      <w:marBottom w:val="0"/>
      <w:divBdr>
        <w:top w:val="none" w:sz="0" w:space="0" w:color="auto"/>
        <w:left w:val="none" w:sz="0" w:space="0" w:color="auto"/>
        <w:bottom w:val="none" w:sz="0" w:space="0" w:color="auto"/>
        <w:right w:val="none" w:sz="0" w:space="0" w:color="auto"/>
      </w:divBdr>
    </w:div>
    <w:div w:id="254241655">
      <w:bodyDiv w:val="1"/>
      <w:marLeft w:val="0"/>
      <w:marRight w:val="0"/>
      <w:marTop w:val="0"/>
      <w:marBottom w:val="0"/>
      <w:divBdr>
        <w:top w:val="none" w:sz="0" w:space="0" w:color="auto"/>
        <w:left w:val="none" w:sz="0" w:space="0" w:color="auto"/>
        <w:bottom w:val="none" w:sz="0" w:space="0" w:color="auto"/>
        <w:right w:val="none" w:sz="0" w:space="0" w:color="auto"/>
      </w:divBdr>
    </w:div>
    <w:div w:id="286086959">
      <w:bodyDiv w:val="1"/>
      <w:marLeft w:val="0"/>
      <w:marRight w:val="0"/>
      <w:marTop w:val="0"/>
      <w:marBottom w:val="0"/>
      <w:divBdr>
        <w:top w:val="none" w:sz="0" w:space="0" w:color="auto"/>
        <w:left w:val="none" w:sz="0" w:space="0" w:color="auto"/>
        <w:bottom w:val="none" w:sz="0" w:space="0" w:color="auto"/>
        <w:right w:val="none" w:sz="0" w:space="0" w:color="auto"/>
      </w:divBdr>
    </w:div>
    <w:div w:id="302203561">
      <w:bodyDiv w:val="1"/>
      <w:marLeft w:val="0"/>
      <w:marRight w:val="0"/>
      <w:marTop w:val="0"/>
      <w:marBottom w:val="0"/>
      <w:divBdr>
        <w:top w:val="none" w:sz="0" w:space="0" w:color="auto"/>
        <w:left w:val="none" w:sz="0" w:space="0" w:color="auto"/>
        <w:bottom w:val="none" w:sz="0" w:space="0" w:color="auto"/>
        <w:right w:val="none" w:sz="0" w:space="0" w:color="auto"/>
      </w:divBdr>
    </w:div>
    <w:div w:id="338780047">
      <w:bodyDiv w:val="1"/>
      <w:marLeft w:val="0"/>
      <w:marRight w:val="0"/>
      <w:marTop w:val="0"/>
      <w:marBottom w:val="0"/>
      <w:divBdr>
        <w:top w:val="none" w:sz="0" w:space="0" w:color="auto"/>
        <w:left w:val="none" w:sz="0" w:space="0" w:color="auto"/>
        <w:bottom w:val="none" w:sz="0" w:space="0" w:color="auto"/>
        <w:right w:val="none" w:sz="0" w:space="0" w:color="auto"/>
      </w:divBdr>
    </w:div>
    <w:div w:id="398940567">
      <w:bodyDiv w:val="1"/>
      <w:marLeft w:val="0"/>
      <w:marRight w:val="0"/>
      <w:marTop w:val="0"/>
      <w:marBottom w:val="0"/>
      <w:divBdr>
        <w:top w:val="none" w:sz="0" w:space="0" w:color="auto"/>
        <w:left w:val="none" w:sz="0" w:space="0" w:color="auto"/>
        <w:bottom w:val="none" w:sz="0" w:space="0" w:color="auto"/>
        <w:right w:val="none" w:sz="0" w:space="0" w:color="auto"/>
      </w:divBdr>
    </w:div>
    <w:div w:id="536240415">
      <w:bodyDiv w:val="1"/>
      <w:marLeft w:val="0"/>
      <w:marRight w:val="0"/>
      <w:marTop w:val="0"/>
      <w:marBottom w:val="0"/>
      <w:divBdr>
        <w:top w:val="none" w:sz="0" w:space="0" w:color="auto"/>
        <w:left w:val="none" w:sz="0" w:space="0" w:color="auto"/>
        <w:bottom w:val="none" w:sz="0" w:space="0" w:color="auto"/>
        <w:right w:val="none" w:sz="0" w:space="0" w:color="auto"/>
      </w:divBdr>
    </w:div>
    <w:div w:id="580795727">
      <w:bodyDiv w:val="1"/>
      <w:marLeft w:val="0"/>
      <w:marRight w:val="0"/>
      <w:marTop w:val="0"/>
      <w:marBottom w:val="0"/>
      <w:divBdr>
        <w:top w:val="none" w:sz="0" w:space="0" w:color="auto"/>
        <w:left w:val="none" w:sz="0" w:space="0" w:color="auto"/>
        <w:bottom w:val="none" w:sz="0" w:space="0" w:color="auto"/>
        <w:right w:val="none" w:sz="0" w:space="0" w:color="auto"/>
      </w:divBdr>
    </w:div>
    <w:div w:id="619998492">
      <w:bodyDiv w:val="1"/>
      <w:marLeft w:val="0"/>
      <w:marRight w:val="0"/>
      <w:marTop w:val="0"/>
      <w:marBottom w:val="0"/>
      <w:divBdr>
        <w:top w:val="none" w:sz="0" w:space="0" w:color="auto"/>
        <w:left w:val="none" w:sz="0" w:space="0" w:color="auto"/>
        <w:bottom w:val="none" w:sz="0" w:space="0" w:color="auto"/>
        <w:right w:val="none" w:sz="0" w:space="0" w:color="auto"/>
      </w:divBdr>
    </w:div>
    <w:div w:id="672686379">
      <w:bodyDiv w:val="1"/>
      <w:marLeft w:val="0"/>
      <w:marRight w:val="0"/>
      <w:marTop w:val="0"/>
      <w:marBottom w:val="0"/>
      <w:divBdr>
        <w:top w:val="none" w:sz="0" w:space="0" w:color="auto"/>
        <w:left w:val="none" w:sz="0" w:space="0" w:color="auto"/>
        <w:bottom w:val="none" w:sz="0" w:space="0" w:color="auto"/>
        <w:right w:val="none" w:sz="0" w:space="0" w:color="auto"/>
      </w:divBdr>
    </w:div>
    <w:div w:id="762191611">
      <w:bodyDiv w:val="1"/>
      <w:marLeft w:val="0"/>
      <w:marRight w:val="0"/>
      <w:marTop w:val="0"/>
      <w:marBottom w:val="0"/>
      <w:divBdr>
        <w:top w:val="none" w:sz="0" w:space="0" w:color="auto"/>
        <w:left w:val="none" w:sz="0" w:space="0" w:color="auto"/>
        <w:bottom w:val="none" w:sz="0" w:space="0" w:color="auto"/>
        <w:right w:val="none" w:sz="0" w:space="0" w:color="auto"/>
      </w:divBdr>
    </w:div>
    <w:div w:id="778374741">
      <w:bodyDiv w:val="1"/>
      <w:marLeft w:val="0"/>
      <w:marRight w:val="0"/>
      <w:marTop w:val="0"/>
      <w:marBottom w:val="0"/>
      <w:divBdr>
        <w:top w:val="none" w:sz="0" w:space="0" w:color="auto"/>
        <w:left w:val="none" w:sz="0" w:space="0" w:color="auto"/>
        <w:bottom w:val="none" w:sz="0" w:space="0" w:color="auto"/>
        <w:right w:val="none" w:sz="0" w:space="0" w:color="auto"/>
      </w:divBdr>
    </w:div>
    <w:div w:id="783891617">
      <w:bodyDiv w:val="1"/>
      <w:marLeft w:val="0"/>
      <w:marRight w:val="0"/>
      <w:marTop w:val="0"/>
      <w:marBottom w:val="0"/>
      <w:divBdr>
        <w:top w:val="none" w:sz="0" w:space="0" w:color="auto"/>
        <w:left w:val="none" w:sz="0" w:space="0" w:color="auto"/>
        <w:bottom w:val="none" w:sz="0" w:space="0" w:color="auto"/>
        <w:right w:val="none" w:sz="0" w:space="0" w:color="auto"/>
      </w:divBdr>
    </w:div>
    <w:div w:id="785928503">
      <w:bodyDiv w:val="1"/>
      <w:marLeft w:val="0"/>
      <w:marRight w:val="0"/>
      <w:marTop w:val="0"/>
      <w:marBottom w:val="0"/>
      <w:divBdr>
        <w:top w:val="none" w:sz="0" w:space="0" w:color="auto"/>
        <w:left w:val="none" w:sz="0" w:space="0" w:color="auto"/>
        <w:bottom w:val="none" w:sz="0" w:space="0" w:color="auto"/>
        <w:right w:val="none" w:sz="0" w:space="0" w:color="auto"/>
      </w:divBdr>
    </w:div>
    <w:div w:id="813790817">
      <w:bodyDiv w:val="1"/>
      <w:marLeft w:val="0"/>
      <w:marRight w:val="0"/>
      <w:marTop w:val="0"/>
      <w:marBottom w:val="0"/>
      <w:divBdr>
        <w:top w:val="none" w:sz="0" w:space="0" w:color="auto"/>
        <w:left w:val="none" w:sz="0" w:space="0" w:color="auto"/>
        <w:bottom w:val="none" w:sz="0" w:space="0" w:color="auto"/>
        <w:right w:val="none" w:sz="0" w:space="0" w:color="auto"/>
      </w:divBdr>
    </w:div>
    <w:div w:id="900604345">
      <w:bodyDiv w:val="1"/>
      <w:marLeft w:val="0"/>
      <w:marRight w:val="0"/>
      <w:marTop w:val="0"/>
      <w:marBottom w:val="0"/>
      <w:divBdr>
        <w:top w:val="none" w:sz="0" w:space="0" w:color="auto"/>
        <w:left w:val="none" w:sz="0" w:space="0" w:color="auto"/>
        <w:bottom w:val="none" w:sz="0" w:space="0" w:color="auto"/>
        <w:right w:val="none" w:sz="0" w:space="0" w:color="auto"/>
      </w:divBdr>
    </w:div>
    <w:div w:id="906188647">
      <w:bodyDiv w:val="1"/>
      <w:marLeft w:val="0"/>
      <w:marRight w:val="0"/>
      <w:marTop w:val="0"/>
      <w:marBottom w:val="0"/>
      <w:divBdr>
        <w:top w:val="none" w:sz="0" w:space="0" w:color="auto"/>
        <w:left w:val="none" w:sz="0" w:space="0" w:color="auto"/>
        <w:bottom w:val="none" w:sz="0" w:space="0" w:color="auto"/>
        <w:right w:val="none" w:sz="0" w:space="0" w:color="auto"/>
      </w:divBdr>
    </w:div>
    <w:div w:id="972635878">
      <w:bodyDiv w:val="1"/>
      <w:marLeft w:val="0"/>
      <w:marRight w:val="0"/>
      <w:marTop w:val="0"/>
      <w:marBottom w:val="0"/>
      <w:divBdr>
        <w:top w:val="none" w:sz="0" w:space="0" w:color="auto"/>
        <w:left w:val="none" w:sz="0" w:space="0" w:color="auto"/>
        <w:bottom w:val="none" w:sz="0" w:space="0" w:color="auto"/>
        <w:right w:val="none" w:sz="0" w:space="0" w:color="auto"/>
      </w:divBdr>
    </w:div>
    <w:div w:id="1080635737">
      <w:bodyDiv w:val="1"/>
      <w:marLeft w:val="0"/>
      <w:marRight w:val="0"/>
      <w:marTop w:val="0"/>
      <w:marBottom w:val="0"/>
      <w:divBdr>
        <w:top w:val="none" w:sz="0" w:space="0" w:color="auto"/>
        <w:left w:val="none" w:sz="0" w:space="0" w:color="auto"/>
        <w:bottom w:val="none" w:sz="0" w:space="0" w:color="auto"/>
        <w:right w:val="none" w:sz="0" w:space="0" w:color="auto"/>
      </w:divBdr>
    </w:div>
    <w:div w:id="1095857485">
      <w:bodyDiv w:val="1"/>
      <w:marLeft w:val="0"/>
      <w:marRight w:val="0"/>
      <w:marTop w:val="0"/>
      <w:marBottom w:val="0"/>
      <w:divBdr>
        <w:top w:val="none" w:sz="0" w:space="0" w:color="auto"/>
        <w:left w:val="none" w:sz="0" w:space="0" w:color="auto"/>
        <w:bottom w:val="none" w:sz="0" w:space="0" w:color="auto"/>
        <w:right w:val="none" w:sz="0" w:space="0" w:color="auto"/>
      </w:divBdr>
    </w:div>
    <w:div w:id="1203133570">
      <w:bodyDiv w:val="1"/>
      <w:marLeft w:val="0"/>
      <w:marRight w:val="0"/>
      <w:marTop w:val="0"/>
      <w:marBottom w:val="0"/>
      <w:divBdr>
        <w:top w:val="none" w:sz="0" w:space="0" w:color="auto"/>
        <w:left w:val="none" w:sz="0" w:space="0" w:color="auto"/>
        <w:bottom w:val="none" w:sz="0" w:space="0" w:color="auto"/>
        <w:right w:val="none" w:sz="0" w:space="0" w:color="auto"/>
      </w:divBdr>
    </w:div>
    <w:div w:id="1241867918">
      <w:bodyDiv w:val="1"/>
      <w:marLeft w:val="0"/>
      <w:marRight w:val="0"/>
      <w:marTop w:val="0"/>
      <w:marBottom w:val="0"/>
      <w:divBdr>
        <w:top w:val="none" w:sz="0" w:space="0" w:color="auto"/>
        <w:left w:val="none" w:sz="0" w:space="0" w:color="auto"/>
        <w:bottom w:val="none" w:sz="0" w:space="0" w:color="auto"/>
        <w:right w:val="none" w:sz="0" w:space="0" w:color="auto"/>
      </w:divBdr>
    </w:div>
    <w:div w:id="1261135477">
      <w:bodyDiv w:val="1"/>
      <w:marLeft w:val="0"/>
      <w:marRight w:val="0"/>
      <w:marTop w:val="0"/>
      <w:marBottom w:val="0"/>
      <w:divBdr>
        <w:top w:val="none" w:sz="0" w:space="0" w:color="auto"/>
        <w:left w:val="none" w:sz="0" w:space="0" w:color="auto"/>
        <w:bottom w:val="none" w:sz="0" w:space="0" w:color="auto"/>
        <w:right w:val="none" w:sz="0" w:space="0" w:color="auto"/>
      </w:divBdr>
    </w:div>
    <w:div w:id="1276331957">
      <w:bodyDiv w:val="1"/>
      <w:marLeft w:val="0"/>
      <w:marRight w:val="0"/>
      <w:marTop w:val="0"/>
      <w:marBottom w:val="0"/>
      <w:divBdr>
        <w:top w:val="none" w:sz="0" w:space="0" w:color="auto"/>
        <w:left w:val="none" w:sz="0" w:space="0" w:color="auto"/>
        <w:bottom w:val="none" w:sz="0" w:space="0" w:color="auto"/>
        <w:right w:val="none" w:sz="0" w:space="0" w:color="auto"/>
      </w:divBdr>
    </w:div>
    <w:div w:id="1310983751">
      <w:bodyDiv w:val="1"/>
      <w:marLeft w:val="0"/>
      <w:marRight w:val="0"/>
      <w:marTop w:val="0"/>
      <w:marBottom w:val="0"/>
      <w:divBdr>
        <w:top w:val="none" w:sz="0" w:space="0" w:color="auto"/>
        <w:left w:val="none" w:sz="0" w:space="0" w:color="auto"/>
        <w:bottom w:val="none" w:sz="0" w:space="0" w:color="auto"/>
        <w:right w:val="none" w:sz="0" w:space="0" w:color="auto"/>
      </w:divBdr>
    </w:div>
    <w:div w:id="1344355865">
      <w:bodyDiv w:val="1"/>
      <w:marLeft w:val="0"/>
      <w:marRight w:val="0"/>
      <w:marTop w:val="0"/>
      <w:marBottom w:val="0"/>
      <w:divBdr>
        <w:top w:val="none" w:sz="0" w:space="0" w:color="auto"/>
        <w:left w:val="none" w:sz="0" w:space="0" w:color="auto"/>
        <w:bottom w:val="none" w:sz="0" w:space="0" w:color="auto"/>
        <w:right w:val="none" w:sz="0" w:space="0" w:color="auto"/>
      </w:divBdr>
    </w:div>
    <w:div w:id="1382092091">
      <w:bodyDiv w:val="1"/>
      <w:marLeft w:val="0"/>
      <w:marRight w:val="0"/>
      <w:marTop w:val="0"/>
      <w:marBottom w:val="0"/>
      <w:divBdr>
        <w:top w:val="none" w:sz="0" w:space="0" w:color="auto"/>
        <w:left w:val="none" w:sz="0" w:space="0" w:color="auto"/>
        <w:bottom w:val="none" w:sz="0" w:space="0" w:color="auto"/>
        <w:right w:val="none" w:sz="0" w:space="0" w:color="auto"/>
      </w:divBdr>
    </w:div>
    <w:div w:id="1495952653">
      <w:bodyDiv w:val="1"/>
      <w:marLeft w:val="0"/>
      <w:marRight w:val="0"/>
      <w:marTop w:val="0"/>
      <w:marBottom w:val="0"/>
      <w:divBdr>
        <w:top w:val="none" w:sz="0" w:space="0" w:color="auto"/>
        <w:left w:val="none" w:sz="0" w:space="0" w:color="auto"/>
        <w:bottom w:val="none" w:sz="0" w:space="0" w:color="auto"/>
        <w:right w:val="none" w:sz="0" w:space="0" w:color="auto"/>
      </w:divBdr>
    </w:div>
    <w:div w:id="1547832187">
      <w:bodyDiv w:val="1"/>
      <w:marLeft w:val="0"/>
      <w:marRight w:val="0"/>
      <w:marTop w:val="0"/>
      <w:marBottom w:val="0"/>
      <w:divBdr>
        <w:top w:val="none" w:sz="0" w:space="0" w:color="auto"/>
        <w:left w:val="none" w:sz="0" w:space="0" w:color="auto"/>
        <w:bottom w:val="none" w:sz="0" w:space="0" w:color="auto"/>
        <w:right w:val="none" w:sz="0" w:space="0" w:color="auto"/>
      </w:divBdr>
    </w:div>
    <w:div w:id="1572807485">
      <w:bodyDiv w:val="1"/>
      <w:marLeft w:val="0"/>
      <w:marRight w:val="0"/>
      <w:marTop w:val="0"/>
      <w:marBottom w:val="0"/>
      <w:divBdr>
        <w:top w:val="none" w:sz="0" w:space="0" w:color="auto"/>
        <w:left w:val="none" w:sz="0" w:space="0" w:color="auto"/>
        <w:bottom w:val="none" w:sz="0" w:space="0" w:color="auto"/>
        <w:right w:val="none" w:sz="0" w:space="0" w:color="auto"/>
      </w:divBdr>
    </w:div>
    <w:div w:id="1716151856">
      <w:bodyDiv w:val="1"/>
      <w:marLeft w:val="0"/>
      <w:marRight w:val="0"/>
      <w:marTop w:val="0"/>
      <w:marBottom w:val="0"/>
      <w:divBdr>
        <w:top w:val="none" w:sz="0" w:space="0" w:color="auto"/>
        <w:left w:val="none" w:sz="0" w:space="0" w:color="auto"/>
        <w:bottom w:val="none" w:sz="0" w:space="0" w:color="auto"/>
        <w:right w:val="none" w:sz="0" w:space="0" w:color="auto"/>
      </w:divBdr>
    </w:div>
    <w:div w:id="1897158383">
      <w:bodyDiv w:val="1"/>
      <w:marLeft w:val="0"/>
      <w:marRight w:val="0"/>
      <w:marTop w:val="0"/>
      <w:marBottom w:val="0"/>
      <w:divBdr>
        <w:top w:val="none" w:sz="0" w:space="0" w:color="auto"/>
        <w:left w:val="none" w:sz="0" w:space="0" w:color="auto"/>
        <w:bottom w:val="none" w:sz="0" w:space="0" w:color="auto"/>
        <w:right w:val="none" w:sz="0" w:space="0" w:color="auto"/>
      </w:divBdr>
    </w:div>
    <w:div w:id="1981958218">
      <w:bodyDiv w:val="1"/>
      <w:marLeft w:val="0"/>
      <w:marRight w:val="0"/>
      <w:marTop w:val="0"/>
      <w:marBottom w:val="0"/>
      <w:divBdr>
        <w:top w:val="none" w:sz="0" w:space="0" w:color="auto"/>
        <w:left w:val="none" w:sz="0" w:space="0" w:color="auto"/>
        <w:bottom w:val="none" w:sz="0" w:space="0" w:color="auto"/>
        <w:right w:val="none" w:sz="0" w:space="0" w:color="auto"/>
      </w:divBdr>
    </w:div>
    <w:div w:id="2044208203">
      <w:bodyDiv w:val="1"/>
      <w:marLeft w:val="0"/>
      <w:marRight w:val="0"/>
      <w:marTop w:val="0"/>
      <w:marBottom w:val="0"/>
      <w:divBdr>
        <w:top w:val="none" w:sz="0" w:space="0" w:color="auto"/>
        <w:left w:val="none" w:sz="0" w:space="0" w:color="auto"/>
        <w:bottom w:val="none" w:sz="0" w:space="0" w:color="auto"/>
        <w:right w:val="none" w:sz="0" w:space="0" w:color="auto"/>
      </w:divBdr>
    </w:div>
    <w:div w:id="2056274305">
      <w:bodyDiv w:val="1"/>
      <w:marLeft w:val="0"/>
      <w:marRight w:val="0"/>
      <w:marTop w:val="0"/>
      <w:marBottom w:val="0"/>
      <w:divBdr>
        <w:top w:val="none" w:sz="0" w:space="0" w:color="auto"/>
        <w:left w:val="none" w:sz="0" w:space="0" w:color="auto"/>
        <w:bottom w:val="none" w:sz="0" w:space="0" w:color="auto"/>
        <w:right w:val="none" w:sz="0" w:space="0" w:color="auto"/>
      </w:divBdr>
    </w:div>
    <w:div w:id="212141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3"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5" Type="http://schemas.openxmlformats.org/officeDocument/2006/relationships/webSettings" Target="webSettings.xml"/><Relationship Id="rId3" Type="http://schemas.openxmlformats.org/officeDocument/2006/relationships/styles" Target="styles.xml"/><Relationship Id="rId62" Type="http://schemas.openxmlformats.org/officeDocument/2006/relationships/header" Target="header1.xml"/><Relationship Id="rId70" Type="http://schemas.openxmlformats.org/officeDocument/2006/relationships/fontTable" Target="fontTable.xml"/><Relationship Id="rId6" Type="http://schemas.openxmlformats.org/officeDocument/2006/relationships/footnotes" Target="footnotes.xml"/><Relationship Id="rId4" Type="http://schemas.openxmlformats.org/officeDocument/2006/relationships/settings" Target="settings.xml"/><Relationship Id="rId1"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coreProperties>
</file>