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8"/>
        <w:overflowPunct w:val="1"/>
        <w:spacing w:line="480" w:lineRule="auto"/>
      </w:pPr>
      <w:r>
        <w:rPr>
          <w:sz w:val="24"/>
        </w:rPr>
        <w:t>5G NR导频降雨衰减估计中的共享晴空参考误差：</w:t>
      </w:r>
      <w:r>
        <w:rPr>
          <w:sz w:val="24"/>
        </w:rPr>
        <w:br/>
      </w:r>
      <w:r>
        <w:rPr>
          <w:sz w:val="24"/>
        </w:rPr>
        <w:t>信息下界与闭式不确定性传播</w:t>
      </w:r>
    </w:p>
    <w:p>
      <w:pPr>
        <w:overflowPunct w:val="1"/>
        <w:spacing w:line="480" w:lineRule="auto"/>
        <w:jc w:val="both"/>
      </w:pPr>
      <w:r>
        <w:rPr>
          <w:b/>
        </w:rPr>
        <w:t>摘要：</w:t>
      </w:r>
      <w:r>
        <w:rPr/>
        <w:t>5G新空口（NR）的解调参考信号（DM-RS）为毫米波链路提供了导频级的降雨衰减观测，但导频需要与晴空参考比较，而该参考由有限个时隙估计，并在其后的每次观测中重复使用。参考误差为所有衰减估计所共有，不随时间平均而减小。本文定量刻画这一共享误差，并给出其闭式传播。对于剖面幅度估计器，平均衰减的Cramér–Rao下界可分解为不可平均消除的共享项与随平均减小的项，共享项所占比例只取决于衰减以及平均观测次数与参考时隙数之比。将参考噪声与当前噪声经估计器的驻点方程传播，得到完整的闭式方差，其中保留了常规固定权重线性化所忽略的噪声能量项；后者低于信息下界，相差因子</w:t>
      </w:r>
      <w:r>
        <w:rPr/>
        <w:t>1 + 1/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>，其中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>为单导频参考信噪比。基于28 GHz NR DM-RS OFDM链路的蒙特卡洛仿真验证了上述理论。在0 dB、2个参考时隙条件下，固定权重线性化给出的名义95%区间仅覆盖79.6%的情形，而闭式区间覆盖94.5%，并在全部16种信噪比与参考长度组合下保持在94.5–95.4%，与参数化自助法结果一致，而计算成本仅为其很小一部分。研究结果明确了复用参考何时主导平均和累计降雨估计的不确定性，以及参考所需的长度。</w:t>
      </w:r>
    </w:p>
    <w:p>
      <w:pPr>
        <w:overflowPunct w:val="1"/>
        <w:spacing w:line="480" w:lineRule="auto"/>
        <w:jc w:val="both"/>
      </w:pPr>
      <w:r>
        <w:rPr>
          <w:b/>
        </w:rPr>
        <w:t>关键词：</w:t>
      </w:r>
      <w:r>
        <w:rPr/>
        <w:t>5G NR；降雨衰减；解调参考信号；晴空参考；Cramér–Rao下界；不确定性传播。</w:t>
      </w:r>
    </w:p>
    <w:p>
      <w:pPr>
        <w:numPr>
          <w:ilvl w:val="0"/>
          <w:numId w:val="2"/>
        </w:numPr>
        <w:pStyle w:val="1"/>
        <w:overflowPunct w:val="1"/>
        <w:spacing w:line="480" w:lineRule="auto"/>
      </w:pPr>
      <w:r>
        <w:rPr/>
        <w:t>引言</w:t>
      </w:r>
    </w:p>
    <w:p>
      <w:pPr>
        <w:overflowPunct w:val="1"/>
        <w:spacing w:line="480" w:lineRule="auto"/>
        <w:ind w:firstLine="420"/>
        <w:jc w:val="both"/>
      </w:pPr>
      <w:r>
        <w:rPr/>
        <w:t>地面微波与毫米波链路上的雨致衰减提供路径平均的降雨信息，可与雨量计和天气雷达互为补充。已有研究利用商用微波链路的接收功率记录，在城市和国家尺度上绘制降雨分布，并建立了干湿判别、基线估计、湿天线修正和雨强转换等处理流程（Messer et al., 2006；Leijnse et al., 2007；Overeem et al., 2013, 2016；Chwala &amp; Kunstmann, 2019）。密集城区的毫米波回传链路对降雨更加敏感（Han et al., 2020）。</w:t>
      </w:r>
    </w:p>
    <w:p>
      <w:pPr>
        <w:overflowPunct w:val="1"/>
        <w:spacing w:line="480" w:lineRule="auto"/>
        <w:ind w:firstLine="420"/>
        <w:jc w:val="both"/>
      </w:pPr>
      <w:r>
        <w:rPr/>
        <w:t>5G新空口（NR）提供了比接收功率更精细的观测。其解调参考信号（DM-RS）是放置在每个调度时隙固定子载波上的已知符号（3GPP, 2024），接收机因此能在每个导频上得到复信道观测。在通感一体化中，这类导频是探测传播介质的天然手段（Liu et al., 2022）。但导频并不直接测量衰减：接收机必须把它们与晴空参考信道比较，而该参考由有限个无雨时隙估计，随后在每次观测中重复使用。因此，参考误差为所有衰减估计所共有。时间平均可以减小独立的接收噪声，却不会改变共享分量。</w:t>
      </w:r>
    </w:p>
    <w:p>
      <w:pPr>
        <w:overflowPunct w:val="1"/>
        <w:spacing w:line="480" w:lineRule="auto"/>
        <w:ind w:firstLine="420"/>
        <w:jc w:val="both"/>
      </w:pPr>
      <w:r>
        <w:rPr/>
        <w:t>已有链路降雨的不确定性研究讨论了功率量化、湿天线衰减以及降雨图的测量与插值误差（Zinevich et al., 2010；Schleiss et al., 2013；Rios Gaona et al., 2015；Pastorek et al., 2022），但尚未涉及有限导频参考的误差。导频衰减估计的不确定性通常采用一阶线性化传播（Kay, 1993），对本文的估计器而言，即在估计值处固定权重和相位。该方法在短参考和低信噪比（SNR）条件下的准确性尚未得到检验，而蒙特卡洛传播（Efron, 1979；JCGM, 2008）虽能回答这一问题，计算代价却很高。</w:t>
      </w:r>
    </w:p>
    <w:p>
      <w:pPr>
        <w:overflowPunct w:val="1"/>
        <w:spacing w:line="480" w:lineRule="auto"/>
        <w:ind w:firstLine="420"/>
        <w:jc w:val="both"/>
      </w:pPr>
      <w:r>
        <w:rPr/>
        <w:t>本文只研究一个问题：复用晴空参考带来的不确定性有多大，以及如何用闭式公式正确地传播。主要贡献有三点：（1）推导了共享参考下平均衰减的Cramér–Rao下界，给出不可平均消除的下限，以及判断共享误差何时占主导的闭式判据；（2）得到剖面幅度估计器的完整闭式方差，并指出固定权重线性化低于下界的两个机制；（3）通过NR DM-RS OFDM链路的蒙特卡洛仿真，在16种信噪比与参考长度组合下验证理论，内容包括区间覆盖率以及与参数化自助法的计算成本比较。</w:t>
      </w:r>
    </w:p>
    <w:p>
      <w:pPr>
        <w:overflowPunct w:val="1"/>
        <w:spacing w:line="480" w:lineRule="auto"/>
        <w:ind w:firstLine="420"/>
        <w:jc w:val="both"/>
      </w:pPr>
      <w:r>
        <w:rPr/>
        <w:t>本文其余部分安排如下：第2节建立信号模型，推导信息下界与方差传播；第3节给出仿真研究；第4节和第5节分别为讨论与结论。</w:t>
      </w:r>
    </w:p>
    <w:p>
      <w:pPr>
        <w:numPr>
          <w:ilvl w:val="0"/>
          <w:numId w:val="2"/>
        </w:numPr>
        <w:pStyle w:val="1"/>
        <w:overflowPunct w:val="1"/>
        <w:spacing w:line="480" w:lineRule="auto"/>
      </w:pPr>
      <w:r>
        <w:rPr/>
        <w:t>信号模型与不确定性传播</w:t>
      </w:r>
    </w:p>
    <w:p>
      <w:pPr>
        <w:pStyle w:val="2"/>
        <w:overflowPunct w:val="1"/>
        <w:spacing w:line="480" w:lineRule="auto"/>
      </w:pPr>
      <w:r>
        <w:rPr/>
        <w:t>2.1 NR DM-RS导频观测模型</w:t>
      </w:r>
    </w:p>
    <w:p>
      <w:pPr>
        <w:overflowPunct w:val="1"/>
        <w:spacing w:line="480" w:lineRule="auto"/>
        <w:ind w:firstLine="420"/>
        <w:jc w:val="both"/>
      </w:pPr>
      <w:r>
        <w:rPr/>
        <w:t>对于长度为</w:t>
      </w:r>
      <w:r>
        <w:rPr>
          <w:i/>
        </w:rPr>
        <w:t>L</w:t>
      </w:r>
      <w:r>
        <w:rPr/>
        <w:t>（km）的链路，雨致衰减（dB）服从ITU-R P.838-3建议书的幂律关系（ITU-R, 2005）：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650"/>
        <w:gridCol w:w="646"/>
      </w:tblGrid>
      <w:tr>
        <w:tc>
          <w:tcPr>
            <w:tcW w:type="dxa" w:w="7650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2046" cy="1596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01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046" cy="159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t>(1)</w:t>
            </w:r>
          </w:p>
        </w:tc>
      </w:tr>
    </w:tbl>
    <w:p>
      <w:pPr>
        <w:overflowPunct w:val="1"/>
        <w:spacing w:line="480" w:lineRule="auto"/>
        <w:jc w:val="both"/>
      </w:pPr>
      <w:r>
        <w:rPr/>
        <w:t>式中，</w:t>
      </w:r>
      <w:r>
        <w:rPr>
          <w:i/>
        </w:rPr>
        <w:t>R</w:t>
      </w:r>
      <w:r>
        <w:rPr>
          <w:i/>
          <w:vertAlign w:val="subscript"/>
        </w:rPr>
        <w:t>t</w:t>
      </w:r>
      <w:r>
        <w:rPr/>
        <w:t>为第</w:t>
      </w:r>
      <w:r>
        <w:rPr>
          <w:i/>
        </w:rPr>
        <w:t>t</w:t>
      </w:r>
      <w:r>
        <w:rPr/>
        <w:t>次观测时的路径平均雨强（mm/h），</w:t>
      </w:r>
      <w:r>
        <w:rPr>
          <w:i/>
        </w:rPr>
        <w:t>k</w:t>
      </w:r>
      <w:r>
        <w:rPr/>
        <w:t>和</w:t>
      </w:r>
      <w:r>
        <w:rPr>
          <w:i/>
        </w:rPr>
        <w:t>α</w:t>
      </w:r>
      <w:r>
        <w:rPr/>
        <w:t>取决于频率与极化方式。接收机观测承载PDSCH DM-RS的NR下行时隙，DM-RS采用配置类型1，位于OFDM符号2和11、分配带宽内每隔一个子载波处（3GPP, 2024），每个时隙共有</w:t>
      </w:r>
      <w:r>
        <w:rPr>
          <w:i/>
        </w:rPr>
        <w:t>J</w:t>
      </w:r>
      <w:r>
        <w:rPr/>
        <w:t>个导频（12个资源块时</w:t>
      </w:r>
      <w:r>
        <w:rPr>
          <w:i/>
        </w:rPr>
        <w:t>J</w:t>
      </w:r>
      <w:r>
        <w:rPr/>
        <w:t xml:space="preserve"> = 144</w:t>
      </w:r>
      <w:r>
        <w:rPr/>
        <w:t>）。去除循环前缀、作FFT并除以已知DM-RS符号后，最小二乘导频估计建模为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650"/>
        <w:gridCol w:w="646"/>
      </w:tblGrid>
      <w:tr>
        <w:tc>
          <w:tcPr>
            <w:tcW w:type="dxa" w:w="7650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9082" cy="19962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0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082" cy="1996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t>(2)</w:t>
            </w:r>
          </w:p>
        </w:tc>
      </w:tr>
    </w:tbl>
    <w:p>
      <w:pPr>
        <w:overflowPunct w:val="1"/>
        <w:spacing w:line="480" w:lineRule="auto"/>
        <w:jc w:val="both"/>
      </w:pPr>
      <w:r>
        <w:rPr/>
        <w:t>式中，</w:t>
      </w:r>
      <w:r>
        <w:rPr>
          <w:i/>
        </w:rPr>
        <w:t>h</w:t>
      </w:r>
      <w:r>
        <w:rPr>
          <w:i/>
          <w:vertAlign w:val="subscript"/>
        </w:rPr>
        <w:t>j</w:t>
      </w:r>
      <w:r>
        <w:rPr/>
        <w:t>为第</w:t>
      </w:r>
      <w:r>
        <w:rPr>
          <w:i/>
        </w:rPr>
        <w:t>j</w:t>
      </w:r>
      <w:r>
        <w:rPr/>
        <w:t>个导频上未知的晴空信道；</w:t>
      </w:r>
      <w:r>
        <w:rPr>
          <w:i/>
        </w:rPr>
        <w:t>r</w:t>
      </w:r>
      <w:r>
        <w:rPr>
          <w:i/>
          <w:vertAlign w:val="subscript"/>
        </w:rPr>
        <w:t>j</w:t>
      </w:r>
      <w:r>
        <w:rPr/>
        <w:t>为对</w:t>
      </w:r>
      <w:r>
        <w:rPr>
          <w:i/>
        </w:rPr>
        <w:t>M</w:t>
      </w:r>
      <w:r>
        <w:rPr/>
        <w:t>个晴空时隙相干平均得到的参考；</w:t>
      </w:r>
      <w:r>
        <w:rPr>
          <w:i/>
        </w:rPr>
        <w:t>z</w:t>
      </w:r>
      <w:r>
        <w:rPr>
          <w:i/>
          <w:vertAlign w:val="subscript"/>
        </w:rPr>
        <w:t>tj</w:t>
      </w:r>
      <w:r>
        <w:rPr/>
        <w:t>为第</w:t>
      </w:r>
      <w:r>
        <w:rPr>
          <w:i/>
        </w:rPr>
        <w:t>t</w:t>
      </w:r>
      <w:r>
        <w:rPr/>
        <w:t>次降雨观测的导频，其公共相位为</w:t>
      </w:r>
      <w:r>
        <w:rPr>
          <w:i/>
        </w:rPr>
        <w:t>φ</w:t>
      </w:r>
      <w:r>
        <w:rPr>
          <w:i/>
          <w:vertAlign w:val="subscript"/>
        </w:rPr>
        <w:t>t</w:t>
      </w:r>
      <w:r>
        <w:rPr/>
        <w:t>；</w:t>
      </w:r>
      <w:r>
        <w:rPr>
          <w:i/>
        </w:rPr>
        <w:t>e</w:t>
      </w:r>
      <w:r>
        <w:rPr>
          <w:vertAlign w:val="subscript"/>
        </w:rPr>
        <w:t>0</w:t>
      </w:r>
      <w:r>
        <w:rPr>
          <w:i/>
          <w:vertAlign w:val="subscript"/>
        </w:rPr>
        <w:t>j</w:t>
      </w:r>
      <w:r>
        <w:rPr/>
        <w:t>和</w:t>
      </w:r>
      <w:r>
        <w:rPr>
          <w:i/>
        </w:rPr>
        <w:t>e</w:t>
      </w:r>
      <w:r>
        <w:rPr>
          <w:i/>
          <w:vertAlign w:val="subscript"/>
        </w:rPr>
        <w:t>tj</w:t>
      </w:r>
      <w:r>
        <w:rPr/>
        <w:t>为相互独立的圆对称复高斯误差，方差分别为</w:t>
      </w:r>
      <w:r>
        <w:rPr>
          <w:i/>
        </w:rPr>
        <w:t>v</w:t>
      </w:r>
      <w:r>
        <w:rPr>
          <w:vertAlign w:val="subscript"/>
        </w:rPr>
        <w:t>0</w:t>
      </w:r>
      <w:r>
        <w:rPr/>
        <w:t xml:space="preserve"> = </w:t>
      </w:r>
      <w:r>
        <w:rPr>
          <w:i/>
        </w:rPr>
        <w:t>v</w:t>
      </w:r>
      <w:r>
        <w:rPr/>
        <w:t>/</w:t>
      </w:r>
      <w:r>
        <w:rPr>
          <w:i/>
        </w:rPr>
        <w:t>M</w:t>
      </w:r>
      <w:r>
        <w:rPr/>
        <w:t>和</w:t>
      </w:r>
      <w:r>
        <w:rPr>
          <w:i/>
        </w:rPr>
        <w:t>v</w:t>
      </w:r>
      <w:r>
        <w:rPr/>
        <w:t>。噪声方差</w:t>
      </w:r>
      <w:r>
        <w:rPr>
          <w:i/>
        </w:rPr>
        <w:t>v</w:t>
      </w:r>
      <w:r>
        <w:rPr/>
        <w:t>由接收机标定得到。记</w:t>
      </w:r>
      <w:r>
        <w:rPr>
          <w:i/>
        </w:rPr>
        <w:t>H</w:t>
      </w:r>
      <w:r>
        <w:rPr/>
        <w:t xml:space="preserve"> = Σ</w:t>
      </w:r>
      <w:r>
        <w:rPr>
          <w:i/>
          <w:vertAlign w:val="subscript"/>
        </w:rPr>
        <w:t>j</w:t>
      </w:r>
      <w:r>
        <w:rPr/>
        <w:t>|</w:t>
      </w:r>
      <w:r>
        <w:rPr>
          <w:i/>
        </w:rPr>
        <w:t>h</w:t>
      </w:r>
      <w:r>
        <w:rPr>
          <w:i/>
          <w:vertAlign w:val="subscript"/>
        </w:rPr>
        <w:t>j</w:t>
      </w:r>
      <w:r>
        <w:rPr/>
        <w:t>|</w:t>
      </w:r>
      <w:r>
        <w:rPr>
          <w:vertAlign w:val="superscript"/>
        </w:rPr>
        <w:t>2</w:t>
      </w:r>
      <w:r>
        <w:rPr/>
        <w:t>，单导频参考信噪比和当前信噪比分别为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 xml:space="preserve"> = </w:t>
      </w:r>
      <w:r>
        <w:rPr>
          <w:i/>
        </w:rPr>
        <w:t>H</w:t>
      </w:r>
      <w:r>
        <w:rPr/>
        <w:t>/(</w:t>
      </w:r>
      <w:r>
        <w:rPr>
          <w:i/>
        </w:rPr>
        <w:t>Jv</w:t>
      </w:r>
      <w:r>
        <w:rPr>
          <w:vertAlign w:val="subscript"/>
        </w:rPr>
        <w:t>0</w:t>
      </w:r>
      <w:r>
        <w:rPr/>
        <w:t>)</w:t>
      </w:r>
      <w:r>
        <w:rPr/>
        <w:t>和</w:t>
      </w:r>
      <w:r>
        <w:rPr>
          <w:i/>
        </w:rPr>
        <w:t>γ</w:t>
      </w:r>
      <w:r>
        <w:rPr>
          <w:vertAlign w:val="subscript"/>
        </w:rPr>
        <w:t>t</w:t>
      </w:r>
      <w:r>
        <w:rPr/>
        <w:t xml:space="preserve"> = </w:t>
      </w:r>
      <w:r>
        <w:rPr>
          <w:i/>
        </w:rPr>
        <w:t>a</w:t>
      </w:r>
      <w:r>
        <w:rPr>
          <w:vertAlign w:val="superscript"/>
        </w:rPr>
        <w:t>2</w:t>
      </w:r>
      <w:r>
        <w:rPr>
          <w:i/>
        </w:rPr>
        <w:t>H</w:t>
      </w:r>
      <w:r>
        <w:rPr/>
        <w:t>/(</w:t>
      </w:r>
      <w:r>
        <w:rPr>
          <w:i/>
        </w:rPr>
        <w:t>Jv</w:t>
      </w:r>
      <w:r>
        <w:rPr/>
        <w:t>)</w:t>
      </w:r>
      <w:r>
        <w:rPr/>
        <w:t>；导频平均增益为1时，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 xml:space="preserve"> = </w:t>
      </w:r>
      <w:r>
        <w:rPr>
          <w:i/>
        </w:rPr>
        <w:t>M</w:t>
      </w:r>
      <w:r>
        <w:rPr/>
        <w:t>·SNR</w:t>
      </w:r>
      <w:r>
        <w:rPr/>
        <w:t>，</w:t>
      </w:r>
      <w:r>
        <w:rPr>
          <w:i/>
        </w:rPr>
        <w:t>γ</w:t>
      </w:r>
      <w:r>
        <w:rPr>
          <w:vertAlign w:val="subscript"/>
        </w:rPr>
        <w:t>t</w:t>
      </w:r>
      <w:r>
        <w:rPr/>
        <w:t xml:space="preserve"> = </w:t>
      </w:r>
      <w:r>
        <w:rPr>
          <w:i/>
        </w:rPr>
        <w:t>a</w:t>
      </w:r>
      <w:r>
        <w:rPr>
          <w:vertAlign w:val="superscript"/>
        </w:rPr>
        <w:t>2</w:t>
      </w:r>
      <w:r>
        <w:rPr/>
        <w:t xml:space="preserve"> SNR</w:t>
      </w:r>
      <w:r>
        <w:rPr/>
        <w:t>。图1给出了导频结构和参考的复用方式。</w:t>
      </w:r>
    </w:p>
    <w:p>
      <w:pPr>
        <w:keepNext/>
        <w:overflowPunct w:val="1"/>
        <w:snapToGrid w:val="0"/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96000" cy="23947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chemat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94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overflowPunct w:val="1"/>
        <w:spacing w:line="480" w:lineRule="auto"/>
        <w:jc w:val="center"/>
      </w:pPr>
      <w:r>
        <w:rPr/>
        <w:t xml:space="preserve">图1  </w:t>
      </w:r>
      <w:r>
        <w:rPr/>
        <w:t>导频结构与晴空参考的复用</w:t>
      </w:r>
    </w:p>
    <w:p>
      <w:pPr>
        <w:pStyle w:val="2"/>
        <w:overflowPunct w:val="1"/>
        <w:spacing w:line="480" w:lineRule="auto"/>
      </w:pPr>
      <w:r>
        <w:rPr/>
        <w:t>2.2 剖面幅度估计器</w:t>
      </w:r>
    </w:p>
    <w:p>
      <w:pPr>
        <w:overflowPunct w:val="1"/>
        <w:spacing w:line="480" w:lineRule="auto"/>
        <w:ind w:firstLine="420"/>
        <w:jc w:val="both"/>
      </w:pPr>
      <w:r>
        <w:rPr/>
        <w:t>将信道视为冗余参数，对式(2)的联合似然关于</w:t>
      </w:r>
      <w:r>
        <w:rPr>
          <w:i/>
        </w:rPr>
        <w:t>h</w:t>
      </w:r>
      <w:r>
        <w:rPr>
          <w:i/>
          <w:vertAlign w:val="subscript"/>
        </w:rPr>
        <w:t>j</w:t>
      </w:r>
      <w:r>
        <w:rPr/>
        <w:t>和</w:t>
      </w:r>
      <w:r>
        <w:rPr>
          <w:i/>
        </w:rPr>
        <w:t>φ</w:t>
      </w:r>
      <w:r>
        <w:rPr>
          <w:i/>
          <w:vertAlign w:val="subscript"/>
        </w:rPr>
        <w:t>t</w:t>
      </w:r>
      <w:r>
        <w:rPr/>
        <w:t>取最大，得到剖面幅度估计器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650"/>
        <w:gridCol w:w="646"/>
      </w:tblGrid>
      <w:tr>
        <w:tc>
          <w:tcPr>
            <w:tcW w:type="dxa" w:w="7650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21531" cy="42053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531" cy="4205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t>(3)</w:t>
            </w:r>
          </w:p>
        </w:tc>
      </w:tr>
    </w:tbl>
    <w:p>
      <w:pPr>
        <w:overflowPunct w:val="1"/>
        <w:spacing w:line="480" w:lineRule="auto"/>
        <w:ind w:firstLine="420"/>
        <w:jc w:val="both"/>
      </w:pPr>
      <w:r>
        <w:rPr/>
        <w:t>记</w:t>
      </w:r>
      <w:r>
        <w:rPr>
          <w:i/>
        </w:rPr>
        <w:t>P</w:t>
      </w:r>
      <w:r>
        <w:rPr>
          <w:vertAlign w:val="subscript"/>
        </w:rPr>
        <w:t>0</w:t>
      </w:r>
      <w:r>
        <w:rPr/>
        <w:t xml:space="preserve"> = Σ</w:t>
      </w:r>
      <w:r>
        <w:rPr>
          <w:i/>
          <w:vertAlign w:val="subscript"/>
        </w:rPr>
        <w:t>j</w:t>
      </w:r>
      <w:r>
        <w:rPr/>
        <w:t>|</w:t>
      </w:r>
      <w:r>
        <w:rPr>
          <w:i/>
        </w:rPr>
        <w:t>r</w:t>
      </w:r>
      <w:r>
        <w:rPr>
          <w:i/>
          <w:vertAlign w:val="subscript"/>
        </w:rPr>
        <w:t>j</w:t>
      </w:r>
      <w:r>
        <w:rPr/>
        <w:t>|</w:t>
      </w:r>
      <w:r>
        <w:rPr>
          <w:vertAlign w:val="superscript"/>
        </w:rPr>
        <w:t>2</w:t>
      </w:r>
      <w:r>
        <w:rPr/>
        <w:t>、</w:t>
      </w:r>
      <w:r>
        <w:rPr>
          <w:i/>
        </w:rPr>
        <w:t>P</w:t>
      </w:r>
      <w:r>
        <w:rPr>
          <w:i/>
          <w:vertAlign w:val="subscript"/>
        </w:rPr>
        <w:t>t</w:t>
      </w:r>
      <w:r>
        <w:rPr/>
        <w:t xml:space="preserve"> = Σ</w:t>
      </w:r>
      <w:r>
        <w:rPr>
          <w:i/>
          <w:vertAlign w:val="subscript"/>
        </w:rPr>
        <w:t>j</w:t>
      </w:r>
      <w:r>
        <w:rPr/>
        <w:t>|</w:t>
      </w:r>
      <w:r>
        <w:rPr>
          <w:i/>
        </w:rPr>
        <w:t>z</w:t>
      </w:r>
      <w:r>
        <w:rPr>
          <w:i/>
          <w:vertAlign w:val="subscript"/>
        </w:rPr>
        <w:t>tj</w:t>
      </w:r>
      <w:r>
        <w:rPr/>
        <w:t>|</w:t>
      </w:r>
      <w:r>
        <w:rPr>
          <w:vertAlign w:val="superscript"/>
        </w:rPr>
        <w:t>2</w:t>
      </w:r>
      <w:r>
        <w:rPr/>
        <w:t>、</w:t>
      </w:r>
      <w:r>
        <w:rPr>
          <w:i/>
        </w:rPr>
        <w:t>C</w:t>
      </w:r>
      <w:r>
        <w:rPr>
          <w:i/>
          <w:vertAlign w:val="subscript"/>
        </w:rPr>
        <w:t>t</w:t>
      </w:r>
      <w:r>
        <w:rPr/>
        <w:t xml:space="preserve"> = |Σ</w:t>
      </w:r>
      <w:r>
        <w:rPr>
          <w:i/>
          <w:vertAlign w:val="subscript"/>
        </w:rPr>
        <w:t>j</w:t>
      </w:r>
      <w:r>
        <w:rPr>
          <w:i/>
        </w:rPr>
        <w:t>r</w:t>
      </w:r>
      <w:r>
        <w:rPr>
          <w:i/>
          <w:vertAlign w:val="subscript"/>
        </w:rPr>
        <w:t>j</w:t>
      </w:r>
      <w:r>
        <w:rPr>
          <w:vertAlign w:val="superscript"/>
        </w:rPr>
        <w:t>*</w:t>
      </w:r>
      <w:r>
        <w:rPr>
          <w:i/>
        </w:rPr>
        <w:t>z</w:t>
      </w:r>
      <w:r>
        <w:rPr>
          <w:i/>
          <w:vertAlign w:val="subscript"/>
        </w:rPr>
        <w:t>tj</w:t>
      </w:r>
      <w:r>
        <w:rPr/>
        <w:t>|</w:t>
      </w:r>
      <w:r>
        <w:rPr/>
        <w:t>，驻点满足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650"/>
        <w:gridCol w:w="646"/>
      </w:tblGrid>
      <w:tr>
        <w:tc>
          <w:tcPr>
            <w:tcW w:type="dxa" w:w="7650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33701" cy="1782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701" cy="1782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t>(4)</w:t>
            </w:r>
          </w:p>
        </w:tc>
      </w:tr>
    </w:tbl>
    <w:p>
      <w:pPr>
        <w:overflowPunct w:val="1"/>
        <w:spacing w:line="480" w:lineRule="auto"/>
        <w:jc w:val="both"/>
      </w:pPr>
      <w:r>
        <w:rPr/>
        <w:t>其唯一正根即为估计值，无需数值搜索。本文关注</w:t>
      </w:r>
      <w:r>
        <w:rPr>
          <w:i/>
        </w:rPr>
        <w:t>n</w:t>
      </w:r>
      <w:r>
        <w:rPr/>
        <w:t>个估计值的均值</w:t>
      </w:r>
      <w:r>
        <w:rPr>
          <w:i/>
        </w:rPr>
        <w:t>Ā</w:t>
      </w:r>
      <w:r>
        <w:rPr>
          <w:i/>
          <w:vertAlign w:val="subscript"/>
        </w:rPr>
        <w:t>n</w:t>
      </w:r>
      <w:r>
        <w:rPr/>
        <w:t xml:space="preserve"> = </w:t>
      </w:r>
      <w:r>
        <w:rPr>
          <w:i/>
        </w:rPr>
        <w:t>n</w:t>
      </w:r>
      <w:r>
        <w:rPr>
          <w:vertAlign w:val="superscript"/>
        </w:rPr>
        <w:t>−1</w:t>
      </w:r>
      <w:r>
        <w:rPr/>
        <w:t>Σ</w:t>
      </w:r>
      <w:r>
        <w:rPr>
          <w:i/>
          <w:vertAlign w:val="subscript"/>
        </w:rPr>
        <w:t>t</w:t>
      </w:r>
      <w:r>
        <w:rPr>
          <w:vertAlign w:val="subscript"/>
        </w:rPr>
        <w:t>=1</w:t>
      </w:r>
      <w:r>
        <w:rPr>
          <w:i/>
          <w:vertAlign w:val="superscript"/>
        </w:rPr>
        <w:t>n</w:t>
      </w:r>
      <w:r>
        <w:rPr>
          <w:i/>
        </w:rPr>
        <w:t>Â</w:t>
      </w:r>
      <w:r>
        <w:rPr>
          <w:i/>
          <w:vertAlign w:val="subscript"/>
        </w:rPr>
        <w:t>t</w:t>
      </w:r>
      <w:r>
        <w:rPr/>
        <w:t>，这些估计值均使用同一参考计算。</w:t>
      </w:r>
    </w:p>
    <w:p>
      <w:pPr>
        <w:pStyle w:val="2"/>
        <w:overflowPunct w:val="1"/>
        <w:spacing w:line="480" w:lineRule="auto"/>
      </w:pPr>
      <w:r>
        <w:rPr/>
        <w:t>2.3 共享参考下的信息下界</w:t>
      </w:r>
    </w:p>
    <w:p>
      <w:pPr>
        <w:overflowPunct w:val="1"/>
        <w:spacing w:line="480" w:lineRule="auto"/>
        <w:ind w:firstLine="420"/>
        <w:jc w:val="both"/>
      </w:pPr>
      <w:r>
        <w:rPr/>
        <w:t>考虑公共幅度为</w:t>
      </w:r>
      <w:r>
        <w:rPr>
          <w:i/>
        </w:rPr>
        <w:t>a</w:t>
      </w:r>
      <w:r>
        <w:rPr/>
        <w:t>的</w:t>
      </w:r>
      <w:r>
        <w:rPr>
          <w:i/>
        </w:rPr>
        <w:t>n</w:t>
      </w:r>
      <w:r>
        <w:rPr/>
        <w:t>次观测。式(2)关于</w:t>
      </w:r>
      <w:r>
        <w:rPr>
          <w:i/>
        </w:rPr>
        <w:t>a</w:t>
      </w:r>
      <w:r>
        <w:rPr/>
        <w:t>、相位</w:t>
      </w:r>
      <w:r>
        <w:rPr>
          <w:i/>
        </w:rPr>
        <w:t>φ</w:t>
      </w:r>
      <w:r>
        <w:rPr>
          <w:i/>
          <w:vertAlign w:val="subscript"/>
        </w:rPr>
        <w:t>t</w:t>
      </w:r>
      <w:r>
        <w:rPr/>
        <w:t>以及</w:t>
      </w:r>
      <w:r>
        <w:rPr>
          <w:i/>
        </w:rPr>
        <w:t>h</w:t>
      </w:r>
      <w:r>
        <w:rPr>
          <w:i/>
          <w:vertAlign w:val="subscript"/>
        </w:rPr>
        <w:t>j</w:t>
      </w:r>
      <w:r>
        <w:rPr/>
        <w:t>实部和虚部的Fisher信息中，</w:t>
      </w:r>
      <w:r>
        <w:rPr>
          <w:i/>
        </w:rPr>
        <w:t>a</w:t>
      </w:r>
      <w:r>
        <w:rPr/>
        <w:t>与</w:t>
      </w:r>
      <w:r>
        <w:rPr>
          <w:i/>
        </w:rPr>
        <w:t>φ</w:t>
      </w:r>
      <w:r>
        <w:rPr>
          <w:i/>
          <w:vertAlign w:val="subscript"/>
        </w:rPr>
        <w:t>t</w:t>
      </w:r>
      <w:r>
        <w:rPr/>
        <w:t>之间不存在交叉项。对信道取Schur补，得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650"/>
        <w:gridCol w:w="646"/>
      </w:tblGrid>
      <w:tr>
        <w:tc>
          <w:tcPr>
            <w:tcW w:type="dxa" w:w="7650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75" cy="42049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0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42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t>(5)</w:t>
            </w:r>
          </w:p>
        </w:tc>
      </w:tr>
    </w:tbl>
    <w:p>
      <w:pPr>
        <w:overflowPunct w:val="1"/>
        <w:spacing w:line="480" w:lineRule="auto"/>
        <w:jc w:val="both"/>
      </w:pPr>
      <w:r>
        <w:rPr/>
        <w:t>再由</w:t>
      </w:r>
      <w:r>
        <w:rPr>
          <w:i/>
        </w:rPr>
        <w:t>K</w:t>
      </w:r>
      <w:r>
        <w:rPr/>
        <w:t xml:space="preserve"> = 20/ln 10</w:t>
      </w:r>
      <w:r>
        <w:rPr/>
        <w:t>及</w:t>
      </w:r>
      <w:r>
        <w:rPr/>
        <w:t>Var(</w:t>
      </w:r>
      <w:r>
        <w:rPr>
          <w:i/>
        </w:rPr>
        <w:t>Â</w:t>
      </w:r>
      <w:r>
        <w:rPr/>
        <w:t xml:space="preserve">) ≥ </w:t>
      </w:r>
      <w:r>
        <w:rPr>
          <w:i/>
        </w:rPr>
        <w:t>K</w:t>
      </w:r>
      <w:r>
        <w:rPr>
          <w:vertAlign w:val="superscript"/>
        </w:rPr>
        <w:t>2</w:t>
      </w:r>
      <w:r>
        <w:rPr/>
        <w:t>/[</w:t>
      </w:r>
      <w:r>
        <w:rPr>
          <w:i/>
        </w:rPr>
        <w:t>a</w:t>
      </w:r>
      <w:r>
        <w:rPr>
          <w:vertAlign w:val="superscript"/>
        </w:rPr>
        <w:t>2</w:t>
      </w:r>
      <w:r>
        <w:rPr>
          <w:i/>
        </w:rPr>
        <w:t>I</w:t>
      </w:r>
      <w:r>
        <w:rPr>
          <w:i/>
          <w:vertAlign w:val="subscript"/>
        </w:rPr>
        <w:t>n</w:t>
      </w:r>
      <w:r>
        <w:rPr/>
        <w:t>(</w:t>
      </w:r>
      <w:r>
        <w:rPr>
          <w:i/>
        </w:rPr>
        <w:t>a</w:t>
      </w:r>
      <w:r>
        <w:rPr/>
        <w:t>)]</w:t>
      </w:r>
      <w:r>
        <w:rPr/>
        <w:t>，平均衰减的任意无偏估计满足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650"/>
        <w:gridCol w:w="646"/>
      </w:tblGrid>
      <w:tr>
        <w:tc>
          <w:tcPr>
            <w:tcW w:type="dxa" w:w="7650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9952" cy="3411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0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952" cy="341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t>(6)</w:t>
            </w:r>
          </w:p>
        </w:tc>
      </w:tr>
    </w:tbl>
    <w:p>
      <w:pPr>
        <w:overflowPunct w:val="1"/>
        <w:spacing w:line="480" w:lineRule="auto"/>
        <w:ind w:firstLine="420"/>
        <w:jc w:val="both"/>
      </w:pPr>
      <w:r>
        <w:rPr/>
        <w:t>第一项是共享下限，任何平均都无法消除；第二项按</w:t>
      </w:r>
      <w:r>
        <w:rPr/>
        <w:t>1/</w:t>
      </w:r>
      <w:r>
        <w:rPr>
          <w:i/>
        </w:rPr>
        <w:t>n</w:t>
      </w:r>
      <w:r>
        <w:rPr/>
        <w:t>减小。共享项在下界中所占比例为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650"/>
        <w:gridCol w:w="646"/>
      </w:tblGrid>
      <w:tr>
        <w:tc>
          <w:tcPr>
            <w:tcW w:type="dxa" w:w="7650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96695" cy="34105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0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695" cy="3410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t>(7)</w:t>
            </w:r>
          </w:p>
        </w:tc>
      </w:tr>
    </w:tbl>
    <w:p>
      <w:pPr>
        <w:overflowPunct w:val="1"/>
        <w:spacing w:line="480" w:lineRule="auto"/>
        <w:jc w:val="both"/>
      </w:pPr>
      <w:r>
        <w:rPr/>
        <w:t>后一等式在导频平均增益为1时成立，且与信噪比无关。因此，当</w:t>
      </w:r>
      <w:r>
        <w:rPr>
          <w:i/>
        </w:rPr>
        <w:t>n</w:t>
      </w:r>
      <w:r>
        <w:rPr/>
        <w:t xml:space="preserve"> &gt; </w:t>
      </w:r>
      <w:r>
        <w:rPr>
          <w:i/>
        </w:rPr>
        <w:t>M</w:t>
      </w:r>
      <w:r>
        <w:rPr/>
        <w:t>/</w:t>
      </w:r>
      <w:r>
        <w:rPr>
          <w:i/>
        </w:rPr>
        <w:t>a</w:t>
      </w:r>
      <w:r>
        <w:rPr>
          <w:vertAlign w:val="superscript"/>
        </w:rPr>
        <w:t>2</w:t>
      </w:r>
      <w:r>
        <w:rPr/>
        <w:t>时共享参考占主导：延长参考与增加平均次数作用于不确定性的不同分量。</w:t>
      </w:r>
    </w:p>
    <w:p>
      <w:pPr>
        <w:pStyle w:val="2"/>
        <w:overflowPunct w:val="1"/>
        <w:spacing w:line="480" w:lineRule="auto"/>
      </w:pPr>
      <w:r>
        <w:rPr/>
        <w:t>2.4 方差传播</w:t>
      </w:r>
    </w:p>
    <w:p>
      <w:pPr>
        <w:overflowPunct w:val="1"/>
        <w:spacing w:line="480" w:lineRule="auto"/>
        <w:ind w:firstLine="420"/>
        <w:jc w:val="both"/>
      </w:pPr>
      <w:r>
        <w:rPr>
          <w:b/>
        </w:rPr>
        <w:t>固定权重线性化。</w:t>
      </w:r>
      <w:r>
        <w:rPr/>
        <w:t>常规的局部传播在估计值处固定权重和相位，对式(3)作线性化。白噪声下，它给出逐次观测的方差和所有观测共享的协方差：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650"/>
        <w:gridCol w:w="646"/>
      </w:tblGrid>
      <w:tr>
        <w:tc>
          <w:tcPr>
            <w:tcW w:type="dxa" w:w="7650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97250" cy="38238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0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7250" cy="3823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t>(8)</w:t>
            </w:r>
          </w:p>
        </w:tc>
      </w:tr>
    </w:tbl>
    <w:p>
      <w:pPr>
        <w:overflowPunct w:val="1"/>
        <w:spacing w:line="480" w:lineRule="auto"/>
        <w:ind w:firstLine="420"/>
        <w:jc w:val="both"/>
      </w:pPr>
      <w:r>
        <w:rPr/>
        <w:t>由于作为插件量的参考能量期望为</w:t>
      </w:r>
      <w:r>
        <w:rPr/>
        <w:t>E</w:t>
      </w:r>
      <w:r>
        <w:rPr>
          <w:i/>
        </w:rPr>
        <w:t>P</w:t>
      </w:r>
      <w:r>
        <w:rPr>
          <w:vertAlign w:val="subscript"/>
        </w:rPr>
        <w:t>0</w:t>
      </w:r>
      <w:r>
        <w:rPr/>
        <w:t xml:space="preserve"> = </w:t>
      </w:r>
      <w:r>
        <w:rPr>
          <w:i/>
        </w:rPr>
        <w:t>H</w:t>
      </w:r>
      <w:r>
        <w:rPr/>
        <w:t xml:space="preserve"> + </w:t>
      </w:r>
      <w:r>
        <w:rPr>
          <w:i/>
        </w:rPr>
        <w:t>Jv</w:t>
      </w:r>
      <w:r>
        <w:rPr>
          <w:vertAlign w:val="subscript"/>
        </w:rPr>
        <w:t>0</w:t>
      </w:r>
      <w:r>
        <w:rPr/>
        <w:t xml:space="preserve"> = </w:t>
      </w:r>
      <w:r>
        <w:rPr>
          <w:i/>
        </w:rPr>
        <w:t>H</w:t>
      </w:r>
      <w:r>
        <w:rPr/>
        <w:t>(1 + 1/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>)</w:t>
      </w:r>
      <w:r>
        <w:rPr/>
        <w:t>，上述两项均小于式(6)中的对应项：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650"/>
        <w:gridCol w:w="646"/>
      </w:tblGrid>
      <w:tr>
        <w:tc>
          <w:tcPr>
            <w:tcW w:type="dxa" w:w="7650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2090" cy="32139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0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090" cy="3213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t>(9)</w:t>
            </w:r>
          </w:p>
        </w:tc>
      </w:tr>
    </w:tbl>
    <w:p>
      <w:pPr>
        <w:overflowPunct w:val="1"/>
        <w:spacing w:line="480" w:lineRule="auto"/>
        <w:ind w:firstLine="420"/>
        <w:jc w:val="both"/>
      </w:pPr>
      <w:r>
        <w:rPr/>
        <w:t>因此，固定权重线性化预测的方差低于任何无偏估计器所能达到的下限；当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>较小时，据此构造的区间过窄。</w:t>
      </w:r>
    </w:p>
    <w:p>
      <w:pPr>
        <w:overflowPunct w:val="1"/>
        <w:spacing w:line="480" w:lineRule="auto"/>
        <w:ind w:firstLine="420"/>
        <w:jc w:val="both"/>
      </w:pPr>
      <w:r>
        <w:rPr>
          <w:b/>
        </w:rPr>
        <w:t>完整传播。</w:t>
      </w:r>
      <w:r>
        <w:rPr/>
        <w:t>估计值是式(4)的根，即统计量</w:t>
      </w:r>
      <w:r>
        <w:rPr>
          <w:i/>
        </w:rPr>
        <w:t>P</w:t>
      </w:r>
      <w:r>
        <w:rPr>
          <w:vertAlign w:val="subscript"/>
        </w:rPr>
        <w:t>0</w:t>
      </w:r>
      <w:r>
        <w:rPr/>
        <w:t>、</w:t>
      </w:r>
      <w:r>
        <w:rPr>
          <w:i/>
        </w:rPr>
        <w:t>P</w:t>
      </w:r>
      <w:r>
        <w:rPr>
          <w:i/>
          <w:vertAlign w:val="subscript"/>
        </w:rPr>
        <w:t>t</w:t>
      </w:r>
      <w:r>
        <w:rPr/>
        <w:t>和</w:t>
      </w:r>
      <w:r>
        <w:rPr>
          <w:i/>
        </w:rPr>
        <w:t>C</w:t>
      </w:r>
      <w:r>
        <w:rPr>
          <w:i/>
          <w:vertAlign w:val="subscript"/>
        </w:rPr>
        <w:t>t</w:t>
      </w:r>
      <w:r>
        <w:rPr/>
        <w:t>的光滑函数，可在无噪声点附近对其作一阶展开。为此引入以下随机量（</w:t>
      </w:r>
      <w:r>
        <w:rPr>
          <w:i/>
        </w:rPr>
        <w:t>Y</w:t>
      </w:r>
      <w:r>
        <w:rPr>
          <w:i/>
          <w:vertAlign w:val="subscript"/>
        </w:rPr>
        <w:t>t</w:t>
      </w:r>
      <w:r>
        <w:rPr/>
        <w:t>和</w:t>
      </w:r>
      <w:r>
        <w:rPr>
          <w:i/>
        </w:rPr>
        <w:t>W</w:t>
      </w:r>
      <w:r>
        <w:rPr>
          <w:i/>
          <w:vertAlign w:val="subscript"/>
        </w:rPr>
        <w:t>t</w:t>
      </w:r>
      <w:r>
        <w:rPr/>
        <w:t>在相位对齐后定义）：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650"/>
        <w:gridCol w:w="646"/>
      </w:tblGrid>
      <w:tr>
        <w:tc>
          <w:tcPr>
            <w:tcW w:type="dxa" w:w="7650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01822" cy="32753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1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822" cy="327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650"/>
        <w:gridCol w:w="646"/>
      </w:tblGrid>
      <w:tr>
        <w:tc>
          <w:tcPr>
            <w:tcW w:type="dxa" w:w="7650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7991" cy="32754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1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991" cy="3275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</w:p>
        </w:tc>
      </w:tr>
    </w:tbl>
    <w:p>
      <w:pPr>
        <w:overflowPunct w:val="1"/>
        <w:spacing w:line="480" w:lineRule="auto"/>
        <w:jc w:val="both"/>
      </w:pPr>
      <w:r>
        <w:rPr/>
        <w:t>它们互不相关，方差分别为</w:t>
      </w:r>
      <w:r>
        <w:rPr>
          <w:i/>
        </w:rPr>
        <w:t>Hv</w:t>
      </w:r>
      <w:r>
        <w:rPr>
          <w:vertAlign w:val="subscript"/>
        </w:rPr>
        <w:t>0</w:t>
      </w:r>
      <w:r>
        <w:rPr/>
        <w:t>/2</w:t>
      </w:r>
      <w:r>
        <w:rPr/>
        <w:t>、</w:t>
      </w:r>
      <w:r>
        <w:rPr>
          <w:i/>
        </w:rPr>
        <w:t>Hv</w:t>
      </w:r>
      <w:r>
        <w:rPr/>
        <w:t>/2</w:t>
      </w:r>
      <w:r>
        <w:rPr/>
        <w:t>、</w:t>
      </w:r>
      <w:r>
        <w:rPr>
          <w:i/>
        </w:rPr>
        <w:t>Jv</w:t>
      </w:r>
      <w:r>
        <w:rPr>
          <w:vertAlign w:val="subscript"/>
        </w:rPr>
        <w:t>0</w:t>
      </w:r>
      <w:r>
        <w:rPr>
          <w:i/>
        </w:rPr>
        <w:t>v</w:t>
      </w:r>
      <w:r>
        <w:rPr/>
        <w:t>/2</w:t>
      </w:r>
      <w:r>
        <w:rPr/>
        <w:t>、</w:t>
      </w:r>
      <w:r>
        <w:rPr>
          <w:i/>
        </w:rPr>
        <w:t>Jv</w:t>
      </w:r>
      <w:r>
        <w:rPr>
          <w:vertAlign w:val="subscript"/>
        </w:rPr>
        <w:t>0</w:t>
      </w:r>
      <w:r>
        <w:rPr>
          <w:vertAlign w:val="superscript"/>
        </w:rPr>
        <w:t>2</w:t>
      </w:r>
      <w:r>
        <w:rPr/>
        <w:t>和</w:t>
      </w:r>
      <w:r>
        <w:rPr>
          <w:i/>
        </w:rPr>
        <w:t>Jv</w:t>
      </w:r>
      <w:r>
        <w:rPr>
          <w:vertAlign w:val="superscript"/>
        </w:rPr>
        <w:t>2</w:t>
      </w:r>
      <w:r>
        <w:rPr/>
        <w:t>。展开后有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650"/>
        <w:gridCol w:w="646"/>
      </w:tblGrid>
      <w:tr>
        <w:tc>
          <w:tcPr>
            <w:tcW w:type="dxa" w:w="7650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23107" cy="16000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1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107" cy="1600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t>(10)</w:t>
            </w:r>
          </w:p>
        </w:tc>
      </w:tr>
    </w:tbl>
    <w:p>
      <w:pPr>
        <w:overflowPunct w:val="1"/>
        <w:spacing w:line="480" w:lineRule="auto"/>
        <w:jc w:val="both"/>
      </w:pPr>
      <w:r>
        <w:rPr/>
        <w:t>对式(4)应用隐函数定理，并记</w:t>
      </w:r>
      <w:r>
        <w:rPr>
          <w:i/>
        </w:rPr>
        <w:t>D</w:t>
      </w:r>
      <w:r>
        <w:rPr/>
        <w:t xml:space="preserve"> = </w:t>
      </w:r>
      <w:r>
        <w:rPr>
          <w:i/>
        </w:rPr>
        <w:t>H</w:t>
      </w:r>
      <w:r>
        <w:rPr/>
        <w:t>(</w:t>
      </w:r>
      <w:r>
        <w:rPr>
          <w:i/>
        </w:rPr>
        <w:t>v</w:t>
      </w:r>
      <w:r>
        <w:rPr/>
        <w:t xml:space="preserve"> + </w:t>
      </w:r>
      <w:r>
        <w:rPr>
          <w:i/>
        </w:rPr>
        <w:t>a</w:t>
      </w:r>
      <w:r>
        <w:rPr>
          <w:vertAlign w:val="superscript"/>
        </w:rPr>
        <w:t>2</w:t>
      </w:r>
      <w:r>
        <w:rPr>
          <w:i/>
        </w:rPr>
        <w:t>v</w:t>
      </w:r>
      <w:r>
        <w:rPr>
          <w:vertAlign w:val="subscript"/>
        </w:rPr>
        <w:t>0</w:t>
      </w:r>
      <w:r>
        <w:rPr/>
        <w:t>)</w:t>
      </w:r>
      <w:r>
        <w:rPr/>
        <w:t>，得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650"/>
        <w:gridCol w:w="646"/>
      </w:tblGrid>
      <w:tr>
        <w:tc>
          <w:tcPr>
            <w:tcW w:type="dxa" w:w="7650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48483" cy="31379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1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483" cy="313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t>(11)</w:t>
            </w:r>
          </w:p>
        </w:tc>
      </w:tr>
    </w:tbl>
    <w:p>
      <w:pPr>
        <w:overflowPunct w:val="1"/>
        <w:spacing w:line="480" w:lineRule="auto"/>
        <w:ind w:firstLine="420"/>
        <w:jc w:val="both"/>
      </w:pPr>
      <w:r>
        <w:rPr/>
        <w:t>前两项只含参考误差，为所有观测所共享；其余三项在各次观测之间相互独立。由</w:t>
      </w:r>
      <w:r>
        <w:rPr>
          <w:i/>
        </w:rPr>
        <w:t>δA</w:t>
      </w:r>
      <w:r>
        <w:rPr>
          <w:i/>
          <w:vertAlign w:val="subscript"/>
        </w:rPr>
        <w:t>t</w:t>
      </w:r>
      <w:r>
        <w:rPr/>
        <w:t xml:space="preserve"> = −(</w:t>
      </w:r>
      <w:r>
        <w:rPr>
          <w:i/>
        </w:rPr>
        <w:t>K</w:t>
      </w:r>
      <w:r>
        <w:rPr/>
        <w:t>/</w:t>
      </w:r>
      <w:r>
        <w:rPr>
          <w:i/>
        </w:rPr>
        <w:t>a</w:t>
      </w:r>
      <w:r>
        <w:rPr/>
        <w:t xml:space="preserve">) </w:t>
      </w:r>
      <w:r>
        <w:rPr>
          <w:i/>
        </w:rPr>
        <w:t>δa</w:t>
      </w:r>
      <w:r>
        <w:rPr>
          <w:i/>
          <w:vertAlign w:val="subscript"/>
        </w:rPr>
        <w:t>t</w:t>
      </w:r>
      <w:r>
        <w:rPr/>
        <w:t>，平均衰减的方差为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650"/>
        <w:gridCol w:w="646"/>
      </w:tblGrid>
      <w:tr>
        <w:tc>
          <w:tcPr>
            <w:tcW w:type="dxa" w:w="7650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2809" cy="35189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1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809" cy="3518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t>(12)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650"/>
        <w:gridCol w:w="646"/>
      </w:tblGrid>
      <w:tr>
        <w:tc>
          <w:tcPr>
            <w:tcW w:type="dxa" w:w="7650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38806" cy="36870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1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806" cy="3687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t>(13)</w:t>
            </w:r>
          </w:p>
        </w:tc>
      </w:tr>
    </w:tbl>
    <w:p>
      <w:pPr>
        <w:overflowPunct w:val="1"/>
        <w:spacing w:line="480" w:lineRule="auto"/>
        <w:ind w:firstLine="420"/>
        <w:jc w:val="both"/>
      </w:pPr>
      <w:r>
        <w:rPr>
          <w:i/>
        </w:rPr>
        <w:t>X</w:t>
      </w:r>
      <w:r>
        <w:rPr/>
        <w:t>和</w:t>
      </w:r>
      <w:r>
        <w:rPr>
          <w:i/>
        </w:rPr>
        <w:t>Y</w:t>
      </w:r>
      <w:r>
        <w:rPr>
          <w:i/>
          <w:vertAlign w:val="subscript"/>
        </w:rPr>
        <w:t>t</w:t>
      </w:r>
      <w:r>
        <w:rPr/>
        <w:t>对应的项恰好重现式(6)下界的两项：在噪声的一阶近似下，剖面估计器是有效的。其余各项来自噪声能量</w:t>
      </w:r>
      <w:r>
        <w:rPr>
          <w:i/>
        </w:rPr>
        <w:t>Q</w:t>
      </w:r>
      <w:r>
        <w:rPr>
          <w:vertAlign w:val="subscript"/>
        </w:rPr>
        <w:t>0</w:t>
      </w:r>
      <w:r>
        <w:rPr/>
        <w:t>、</w:t>
      </w:r>
      <w:r>
        <w:rPr>
          <w:i/>
        </w:rPr>
        <w:t>Q</w:t>
      </w:r>
      <w:r>
        <w:rPr>
          <w:i/>
          <w:vertAlign w:val="subscript"/>
        </w:rPr>
        <w:t>t</w:t>
      </w:r>
      <w:r>
        <w:rPr/>
        <w:t>和交叉项</w:t>
      </w:r>
      <w:r>
        <w:rPr>
          <w:i/>
        </w:rPr>
        <w:t>W</w:t>
      </w:r>
      <w:r>
        <w:rPr>
          <w:i/>
          <w:vertAlign w:val="subscript"/>
        </w:rPr>
        <w:t>t</w:t>
      </w:r>
      <w:r>
        <w:rPr/>
        <w:t>，量级为</w:t>
      </w:r>
      <w:r>
        <w:rPr/>
        <w:t>1/(</w:t>
      </w:r>
      <w:r>
        <w:rPr>
          <w:i/>
        </w:rPr>
        <w:t>Jγ</w:t>
      </w:r>
      <w:r>
        <w:rPr>
          <w:vertAlign w:val="superscript"/>
        </w:rPr>
        <w:t>2</w:t>
      </w:r>
      <w:r>
        <w:rPr/>
        <w:t>)</w:t>
      </w:r>
      <w:r>
        <w:rPr/>
        <w:t>；当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>和</w:t>
      </w:r>
      <w:r>
        <w:rPr>
          <w:i/>
        </w:rPr>
        <w:t>γ</w:t>
      </w:r>
      <w:r>
        <w:rPr>
          <w:vertAlign w:val="subscript"/>
        </w:rPr>
        <w:t>t</w:t>
      </w:r>
      <w:r>
        <w:rPr/>
        <w:t>接近1时与一阶项相当，高信噪比下可以忽略。共享项超出下界的相对量为</w:t>
      </w:r>
      <w:r>
        <w:rPr/>
        <w:t>2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>/(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 xml:space="preserve"> + </w:t>
      </w:r>
      <w:r>
        <w:rPr>
          <w:i/>
        </w:rPr>
        <w:t>γ</w:t>
      </w:r>
      <w:r>
        <w:rPr>
          <w:vertAlign w:val="subscript"/>
        </w:rPr>
        <w:t>t</w:t>
      </w:r>
      <w:r>
        <w:rPr/>
        <w:t>)</w:t>
      </w:r>
      <w:r>
        <w:rPr>
          <w:vertAlign w:val="superscript"/>
        </w:rPr>
        <w:t>2</w:t>
      </w:r>
      <w:r>
        <w:rPr/>
        <w:t>，当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>远大于</w:t>
      </w:r>
      <w:r>
        <w:rPr>
          <w:i/>
        </w:rPr>
        <w:t>γ</w:t>
      </w:r>
      <w:r>
        <w:rPr>
          <w:vertAlign w:val="subscript"/>
        </w:rPr>
        <w:t>t</w:t>
      </w:r>
      <w:r>
        <w:rPr/>
        <w:t>时约为</w:t>
      </w:r>
      <w:r>
        <w:rPr/>
        <w:t>2/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>。</w:t>
      </w:r>
    </w:p>
    <w:p>
      <w:pPr>
        <w:pStyle w:val="2"/>
        <w:overflowPunct w:val="1"/>
        <w:spacing w:line="480" w:lineRule="auto"/>
      </w:pPr>
      <w:r>
        <w:rPr/>
        <w:t>2.5 区间构造</w:t>
      </w:r>
    </w:p>
    <w:p>
      <w:pPr>
        <w:overflowPunct w:val="1"/>
        <w:spacing w:line="480" w:lineRule="auto"/>
        <w:ind w:firstLine="420"/>
        <w:jc w:val="both"/>
      </w:pPr>
      <w:r>
        <w:rPr/>
        <w:t>式(12)和式(13)只需可观测量：将信道能量替换为</w:t>
      </w:r>
      <w:r>
        <w:rPr>
          <w:i/>
        </w:rPr>
        <w:t>Ĥ</w:t>
      </w:r>
      <w:r>
        <w:rPr/>
        <w:t xml:space="preserve"> = max(</w:t>
      </w:r>
      <w:r>
        <w:rPr>
          <w:i/>
        </w:rPr>
        <w:t>P</w:t>
      </w:r>
      <w:r>
        <w:rPr>
          <w:vertAlign w:val="subscript"/>
        </w:rPr>
        <w:t>0</w:t>
      </w:r>
      <w:r>
        <w:rPr/>
        <w:t xml:space="preserve"> − </w:t>
      </w:r>
      <w:r>
        <w:rPr>
          <w:i/>
        </w:rPr>
        <w:t>Jv</w:t>
      </w:r>
      <w:r>
        <w:rPr>
          <w:vertAlign w:val="subscript"/>
        </w:rPr>
        <w:t>0</w:t>
      </w:r>
      <w:r>
        <w:rPr/>
        <w:t>, 0.05</w:t>
      </w:r>
      <w:r>
        <w:rPr>
          <w:i/>
        </w:rPr>
        <w:t>P</w:t>
      </w:r>
      <w:r>
        <w:rPr>
          <w:vertAlign w:val="subscript"/>
        </w:rPr>
        <w:t>0</w:t>
      </w:r>
      <w:r>
        <w:rPr/>
        <w:t>)</w:t>
      </w:r>
      <w:r>
        <w:rPr/>
        <w:t>，将</w:t>
      </w:r>
      <w:r>
        <w:rPr>
          <w:i/>
        </w:rPr>
        <w:t>a</w:t>
      </w:r>
      <w:r>
        <w:rPr>
          <w:i/>
          <w:vertAlign w:val="subscript"/>
        </w:rPr>
        <w:t>t</w:t>
      </w:r>
      <w:r>
        <w:rPr/>
        <w:t>替换为</w:t>
      </w:r>
      <w:r>
        <w:rPr>
          <w:i/>
        </w:rPr>
        <w:t>â</w:t>
      </w:r>
      <w:r>
        <w:rPr>
          <w:i/>
          <w:vertAlign w:val="subscript"/>
        </w:rPr>
        <w:t>t</w:t>
      </w:r>
      <w:r>
        <w:rPr/>
        <w:t>；当衰减在窗口内变化时，独立项对各次观测求和，共享噪声能量项的系数取平均。名义水平为</w:t>
      </w:r>
      <w:r>
        <w:rPr/>
        <w:t xml:space="preserve">1 − </w:t>
      </w:r>
      <w:r>
        <w:rPr>
          <w:i/>
        </w:rPr>
        <w:t>β</w:t>
      </w:r>
      <w:r>
        <w:rPr/>
        <w:t>的区间为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650"/>
        <w:gridCol w:w="646"/>
      </w:tblGrid>
      <w:tr>
        <w:tc>
          <w:tcPr>
            <w:tcW w:type="dxa" w:w="7650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5357" cy="25448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1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357" cy="2544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t>(14)</w:t>
            </w:r>
          </w:p>
        </w:tc>
      </w:tr>
    </w:tbl>
    <w:p>
      <w:pPr>
        <w:overflowPunct w:val="1"/>
        <w:spacing w:line="480" w:lineRule="auto"/>
        <w:ind w:firstLine="420"/>
        <w:jc w:val="both"/>
      </w:pPr>
      <w:r>
        <w:rPr/>
        <w:t>由同一组估计值构造三种对照区间：式(8)的固定权重线性化；将共享协方差错误地视为各次观测间独立的同一线性化；以及参数化自助法（Efron, 1979），其</w:t>
      </w:r>
      <w:r>
        <w:rPr>
          <w:i/>
        </w:rPr>
        <w:t>N</w:t>
      </w:r>
      <w:r>
        <w:rPr>
          <w:vertAlign w:val="subscript"/>
        </w:rPr>
        <w:t>b</w:t>
      </w:r>
      <w:r>
        <w:rPr/>
        <w:t>次重抽样中的每一次只抽取一份参考误差，并由全部观测复用：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650"/>
        <w:gridCol w:w="646"/>
      </w:tblGrid>
      <w:tr>
        <w:tc>
          <w:tcPr>
            <w:tcW w:type="dxa" w:w="7650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71111" cy="22854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1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111" cy="2285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"/>
            <w:vAlign w:val="center"/>
          </w:tcPr>
          <w:p>
            <w:pPr>
              <w:overflowPunct w:val="1"/>
              <w:snapToGrid w:val="0"/>
              <w:spacing w:line="240" w:lineRule="auto" w:before="120" w:after="120"/>
              <w:jc w:val="center"/>
            </w:pPr>
            <w:r>
              <w:t>(15)</w:t>
            </w:r>
          </w:p>
        </w:tc>
      </w:tr>
    </w:tbl>
    <w:p>
      <w:pPr>
        <w:overflowPunct w:val="1"/>
        <w:spacing w:line="480" w:lineRule="auto"/>
        <w:jc w:val="both"/>
      </w:pPr>
      <w:r>
        <w:rPr/>
        <w:t>式中，</w:t>
      </w:r>
      <w:r>
        <w:rPr>
          <w:i/>
        </w:rPr>
        <w:t>h̃</w:t>
      </w:r>
      <w:r>
        <w:rPr>
          <w:i/>
          <w:vertAlign w:val="subscript"/>
        </w:rPr>
        <w:t>j</w:t>
      </w:r>
      <w:r>
        <w:rPr/>
        <w:t xml:space="preserve"> = </w:t>
      </w:r>
      <w:r>
        <w:rPr>
          <w:i/>
        </w:rPr>
        <w:t>r</w:t>
      </w:r>
      <w:r>
        <w:rPr>
          <w:i/>
          <w:vertAlign w:val="subscript"/>
        </w:rPr>
        <w:t>j</w:t>
      </w:r>
      <w:r>
        <w:rPr/>
        <w:t>(</w:t>
      </w:r>
      <w:r>
        <w:rPr>
          <w:i/>
        </w:rPr>
        <w:t>Ĥ</w:t>
      </w:r>
      <w:r>
        <w:rPr/>
        <w:t>/</w:t>
      </w:r>
      <w:r>
        <w:rPr>
          <w:i/>
        </w:rPr>
        <w:t>P</w:t>
      </w:r>
      <w:r>
        <w:rPr>
          <w:vertAlign w:val="subscript"/>
        </w:rPr>
        <w:t>0</w:t>
      </w:r>
      <w:r>
        <w:rPr/>
        <w:t>)</w:t>
      </w:r>
      <w:r>
        <w:rPr>
          <w:vertAlign w:val="superscript"/>
        </w:rPr>
        <w:t>1/2</w:t>
      </w:r>
      <w:r>
        <w:rPr/>
        <w:t>，</w:t>
      </w:r>
      <w:r>
        <w:rPr>
          <w:i/>
        </w:rPr>
        <w:t>q</w:t>
      </w:r>
      <w:r>
        <w:rPr>
          <w:vertAlign w:val="superscript"/>
        </w:rPr>
        <w:t>*</w:t>
      </w:r>
      <w:r>
        <w:rPr>
          <w:i/>
          <w:vertAlign w:val="subscript"/>
        </w:rPr>
        <w:t>u</w:t>
      </w:r>
      <w:r>
        <w:rPr/>
        <w:t>为自助均值的</w:t>
      </w:r>
      <w:r>
        <w:rPr>
          <w:i/>
        </w:rPr>
        <w:t>u</w:t>
      </w:r>
      <w:r>
        <w:rPr/>
        <w:t>分位数。</w:t>
      </w:r>
    </w:p>
    <w:p>
      <w:pPr>
        <w:numPr>
          <w:ilvl w:val="0"/>
          <w:numId w:val="2"/>
        </w:numPr>
        <w:pStyle w:val="1"/>
        <w:overflowPunct w:val="1"/>
        <w:spacing w:line="480" w:lineRule="auto"/>
      </w:pPr>
      <w:r>
        <w:rPr/>
        <w:t>仿真研究</w:t>
      </w:r>
    </w:p>
    <w:p>
      <w:pPr>
        <w:pStyle w:val="2"/>
        <w:overflowPunct w:val="1"/>
        <w:spacing w:line="480" w:lineRule="auto"/>
      </w:pPr>
      <w:r>
        <w:rPr/>
        <w:t>3.1 仿真配置</w:t>
      </w:r>
    </w:p>
    <w:p>
      <w:pPr>
        <w:overflowPunct w:val="1"/>
        <w:spacing w:line="480" w:lineRule="auto"/>
        <w:ind w:firstLine="420"/>
        <w:jc w:val="both"/>
      </w:pPr>
      <w:r>
        <w:rPr/>
        <w:t>表1列出了仿真设置。每个时隙在时域生成：将TS 38.211的DM-RS序列映射到相应子载波，经IFFT并加循环前缀，通过时延均位于循环前缀内的三径信道，再按降雨幅度缩放、乘以随机公共相位并叠加高斯白噪声。接收机去除循环前缀、作FFT并除以已知导频。2 dB的固定衰减对应0.5 km链路上21.5 mm/h的雨强。四种信噪比与四种参考长度组成16种条件。每种条件生成2000个独立参考，每个参考复用于32次降雨观测；对前</w:t>
      </w:r>
      <w:r>
        <w:rPr>
          <w:i/>
        </w:rPr>
        <w:t>n</w:t>
      </w:r>
      <w:r>
        <w:rPr/>
        <w:t>个估计值的均值（</w:t>
      </w:r>
      <w:r>
        <w:rPr>
          <w:i/>
        </w:rPr>
        <w:t>n</w:t>
      </w:r>
      <w:r>
        <w:rPr/>
        <w:t>取1、4、16和32）评估区间，名义水平取50%、80%、90%和95%。主条件为0 dB、</w:t>
      </w:r>
      <w:r>
        <w:rPr>
          <w:i/>
        </w:rPr>
        <w:t>M</w:t>
      </w:r>
      <w:r>
        <w:rPr/>
        <w:t xml:space="preserve"> = 2</w:t>
      </w:r>
      <w:r>
        <w:rPr/>
        <w:t>（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 xml:space="preserve"> = 2</w:t>
      </w:r>
      <w:r>
        <w:rPr/>
        <w:t>，</w:t>
      </w:r>
      <w:r>
        <w:rPr>
          <w:i/>
        </w:rPr>
        <w:t>γ</w:t>
      </w:r>
      <w:r>
        <w:rPr>
          <w:vertAlign w:val="subscript"/>
        </w:rPr>
        <w:t>t</w:t>
      </w:r>
      <w:r>
        <w:rPr/>
        <w:t xml:space="preserve"> = 0.63</w:t>
      </w:r>
      <w:r>
        <w:rPr/>
        <w:t>），代表低信噪比下的短参考。</w:t>
      </w:r>
    </w:p>
    <w:p>
      <w:pPr>
        <w:keepNext/>
        <w:keepLines/>
        <w:overflowPunct w:val="1"/>
        <w:spacing w:line="480" w:lineRule="auto"/>
        <w:jc w:val="center"/>
      </w:pPr>
      <w:r>
        <w:rPr/>
        <w:t xml:space="preserve">表1  </w:t>
      </w:r>
      <w:r>
        <w:rPr/>
        <w:t>仿真设置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607"/>
        <w:gridCol w:w="5669"/>
      </w:tblGrid>
      <w:tr>
        <w:tc>
          <w:tcPr>
            <w:tcW w:type="dxa" w:w="2608"/>
            <w:vAlign w:val="center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参数</w:t>
            </w:r>
          </w:p>
        </w:tc>
        <w:tc>
          <w:tcPr>
            <w:tcW w:type="dxa" w:w="5669"/>
            <w:vAlign w:val="center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设置</w:t>
            </w:r>
          </w:p>
        </w:tc>
      </w:tr>
      <w:tr>
        <w:tc>
          <w:tcPr>
            <w:tcW w:type="dxa" w:w="2608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链路</w:t>
            </w:r>
          </w:p>
        </w:tc>
        <w:tc>
          <w:tcPr>
            <w:tcW w:type="dxa" w:w="5669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28 GHz，水平极化，0.5 km；</w:t>
            </w:r>
            <w:r>
              <w:rPr>
                <w:i/>
                <w:sz w:val="18"/>
              </w:rPr>
              <w:t>k</w:t>
            </w:r>
            <w:r>
              <w:rPr>
                <w:sz w:val="18"/>
              </w:rPr>
              <w:t xml:space="preserve"> = 0.2051，</w:t>
            </w:r>
            <w:r>
              <w:rPr>
                <w:i/>
                <w:sz w:val="18"/>
              </w:rPr>
              <w:t>α</w:t>
            </w:r>
            <w:r>
              <w:rPr>
                <w:sz w:val="18"/>
              </w:rPr>
              <w:t xml:space="preserve"> = 0.9679</w:t>
            </w:r>
          </w:p>
        </w:tc>
      </w:tr>
      <w:tr>
        <w:tc>
          <w:tcPr>
            <w:tcW w:type="dxa" w:w="2608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NR参数集</w:t>
            </w:r>
          </w:p>
        </w:tc>
        <w:tc>
          <w:tcPr>
            <w:tcW w:type="dxa" w:w="5669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子载波间隔120 kHz，1024点FFT，循环前缀72个采样点</w:t>
            </w:r>
          </w:p>
        </w:tc>
      </w:tr>
      <w:tr>
        <w:tc>
          <w:tcPr>
            <w:tcW w:type="dxa" w:w="2608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导频</w:t>
            </w:r>
          </w:p>
        </w:tc>
        <w:tc>
          <w:tcPr>
            <w:tcW w:type="dxa" w:w="5669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12个RB，类型1 DM-RS位于符号2和11，每时隙</w:t>
            </w:r>
            <w:r>
              <w:rPr>
                <w:i/>
                <w:sz w:val="18"/>
              </w:rPr>
              <w:t>J</w:t>
            </w:r>
            <w:r>
              <w:rPr>
                <w:sz w:val="18"/>
              </w:rPr>
              <w:t xml:space="preserve"> = 144</w:t>
            </w:r>
          </w:p>
        </w:tc>
      </w:tr>
      <w:tr>
        <w:tc>
          <w:tcPr>
            <w:tcW w:type="dxa" w:w="2608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信道</w:t>
            </w:r>
          </w:p>
        </w:tc>
        <w:tc>
          <w:tcPr>
            <w:tcW w:type="dxa" w:w="5669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三径，时延0、73、187 ns，相对功率0、−12.0、−18.4 dB</w:t>
            </w:r>
          </w:p>
        </w:tc>
      </w:tr>
      <w:tr>
        <w:tc>
          <w:tcPr>
            <w:tcW w:type="dxa" w:w="2608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单导频晴空信噪比</w:t>
            </w:r>
          </w:p>
        </w:tc>
        <w:tc>
          <w:tcPr>
            <w:tcW w:type="dxa" w:w="5669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0、5、15、25 dB</w:t>
            </w:r>
          </w:p>
        </w:tc>
      </w:tr>
      <w:tr>
        <w:tc>
          <w:tcPr>
            <w:tcW w:type="dxa" w:w="2608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参考时隙数</w:t>
            </w:r>
            <w:r>
              <w:rPr>
                <w:i/>
                <w:sz w:val="18"/>
              </w:rPr>
              <w:t>M</w:t>
            </w:r>
          </w:p>
        </w:tc>
        <w:tc>
          <w:tcPr>
            <w:tcW w:type="dxa" w:w="5669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2、8、16、64</w:t>
            </w:r>
          </w:p>
        </w:tc>
      </w:tr>
      <w:tr>
        <w:tc>
          <w:tcPr>
            <w:tcW w:type="dxa" w:w="2608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降雨观测</w:t>
            </w:r>
          </w:p>
        </w:tc>
        <w:tc>
          <w:tcPr>
            <w:tcW w:type="dxa" w:w="5669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每个参考32次；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 xml:space="preserve"> = 2 dB；随机公共相位</w:t>
            </w:r>
          </w:p>
        </w:tc>
      </w:tr>
      <w:tr>
        <w:tc>
          <w:tcPr>
            <w:tcW w:type="dxa" w:w="2608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平均次数与名义水平</w:t>
            </w:r>
          </w:p>
        </w:tc>
        <w:tc>
          <w:tcPr>
            <w:tcW w:type="dxa" w:w="5669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i/>
                <w:sz w:val="18"/>
              </w:rPr>
              <w:t>n</w:t>
            </w:r>
            <w:r>
              <w:rPr>
                <w:sz w:val="18"/>
              </w:rPr>
              <w:t xml:space="preserve"> = 1、4、16、32；名义水平50%、80%、90%、95%</w:t>
            </w:r>
          </w:p>
        </w:tc>
      </w:tr>
      <w:tr>
        <w:tc>
          <w:tcPr>
            <w:tcW w:type="dxa" w:w="2608"/>
            <w:vAlign w:val="center"/>
            <w:tcBorders>
              <w:bottom w:val="single" w:sz="12" w:space="0" w:color="auto"/>
            </w:tcBorders>
          </w:tcPr>
          <w:p>
            <w:pPr>
              <w:keepNext w:val="0"/>
              <w:overflowPunct w:val="1"/>
              <w:spacing w:line="240" w:lineRule="auto"/>
              <w:jc w:val="center"/>
            </w:pPr>
            <w:r>
              <w:rPr>
                <w:sz w:val="18"/>
              </w:rPr>
              <w:t>蒙特卡洛</w:t>
            </w:r>
          </w:p>
        </w:tc>
        <w:tc>
          <w:tcPr>
            <w:tcW w:type="dxa" w:w="5669"/>
            <w:vAlign w:val="center"/>
            <w:tcBorders>
              <w:bottom w:val="single" w:sz="12" w:space="0" w:color="auto"/>
            </w:tcBorders>
          </w:tcPr>
          <w:p>
            <w:pPr>
              <w:keepNext w:val="0"/>
              <w:overflowPunct w:val="1"/>
              <w:spacing w:line="240" w:lineRule="auto"/>
              <w:jc w:val="center"/>
            </w:pPr>
            <w:r>
              <w:rPr>
                <w:sz w:val="18"/>
              </w:rPr>
              <w:t>每种条件2000个参考；</w:t>
            </w:r>
            <w:r>
              <w:rPr>
                <w:i/>
                <w:sz w:val="18"/>
              </w:rPr>
              <w:t>N</w:t>
            </w:r>
            <w:r>
              <w:rPr>
                <w:sz w:val="18"/>
                <w:vertAlign w:val="subscript"/>
              </w:rPr>
              <w:t>b</w:t>
            </w:r>
            <w:r>
              <w:rPr>
                <w:sz w:val="18"/>
              </w:rPr>
              <w:t xml:space="preserve"> = 400</w:t>
            </w:r>
          </w:p>
        </w:tc>
      </w:tr>
    </w:tbl>
    <w:p>
      <w:pPr>
        <w:overflowPunct w:val="1"/>
        <w:spacing w:line="480" w:lineRule="auto"/>
        <w:jc w:val="both"/>
      </w:pPr>
    </w:p>
    <w:p>
      <w:pPr>
        <w:pStyle w:val="2"/>
        <w:overflowPunct w:val="1"/>
        <w:spacing w:line="480" w:lineRule="auto"/>
      </w:pPr>
      <w:r>
        <w:rPr/>
        <w:t>3.2 平均衰减的方差</w:t>
      </w:r>
    </w:p>
    <w:p>
      <w:pPr>
        <w:overflowPunct w:val="1"/>
        <w:spacing w:line="480" w:lineRule="auto"/>
        <w:ind w:firstLine="420"/>
        <w:jc w:val="both"/>
      </w:pPr>
      <w:r>
        <w:rPr/>
        <w:t>表2比较了主条件下的方差分量：式(6)的下界、式(9)的固定权重线性化、式(12)–(13)的完整传播以及仿真结果（含95%自助置信区间）。信息下界的共享项为0.131 dB²，</w:t>
      </w:r>
      <w:r>
        <w:rPr>
          <w:i/>
        </w:rPr>
        <w:t>n</w:t>
      </w:r>
      <w:r>
        <w:rPr/>
        <w:t xml:space="preserve"> = 32时共享参考占其91%（式(7)）。完整传播预测的共享项为0.207 dB²，其中0.076 dB²来自参考噪声能量；仿真得到的共享协方差为0.212 dB²（95%区间0.199–0.227）。固定权重线性化的预测为0.087 dB²，比完整传播低58%，甚至低于下界本身。对于32个估计值的均值，仿真方差为0.229 dB²（0.214–0.243），完整传播给出0.224 dB²，固定权重线性化给出0.096 dB²。</w:t>
      </w:r>
    </w:p>
    <w:p>
      <w:pPr>
        <w:keepNext/>
        <w:keepLines/>
        <w:overflowPunct w:val="1"/>
        <w:spacing w:line="480" w:lineRule="auto"/>
        <w:jc w:val="center"/>
      </w:pPr>
      <w:r>
        <w:rPr/>
        <w:t xml:space="preserve">表2  </w:t>
      </w:r>
      <w:r>
        <w:rPr/>
        <w:t>主条件下的方差分量（dB²；0 dB，</w:t>
      </w:r>
      <w:r>
        <w:rPr>
          <w:i/>
        </w:rPr>
        <w:t>M</w:t>
      </w:r>
      <w:r>
        <w:rPr/>
        <w:t xml:space="preserve"> = 2，</w:t>
      </w:r>
      <w:r>
        <w:rPr>
          <w:i/>
        </w:rPr>
        <w:t>J</w:t>
      </w:r>
      <w:r>
        <w:rPr/>
        <w:t xml:space="preserve"> = 144）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40"/>
        <w:gridCol w:w="2040"/>
        <w:gridCol w:w="1927"/>
        <w:gridCol w:w="2267"/>
      </w:tblGrid>
      <w:tr>
        <w:tc>
          <w:tcPr>
            <w:tcW w:type="dxa" w:w="2041"/>
            <w:vAlign w:val="center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量</w:t>
            </w:r>
          </w:p>
        </w:tc>
        <w:tc>
          <w:tcPr>
            <w:tcW w:type="dxa" w:w="2041"/>
            <w:vAlign w:val="center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共享项</w:t>
            </w:r>
            <w:r>
              <w:rPr>
                <w:i/>
                <w:sz w:val="18"/>
              </w:rPr>
              <w:t>S</w:t>
            </w:r>
          </w:p>
        </w:tc>
        <w:tc>
          <w:tcPr>
            <w:tcW w:type="dxa" w:w="1928"/>
            <w:vAlign w:val="center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独立项</w:t>
            </w:r>
            <w:r>
              <w:rPr>
                <w:i/>
                <w:sz w:val="18"/>
              </w:rPr>
              <w:t>U</w:t>
            </w:r>
          </w:p>
        </w:tc>
        <w:tc>
          <w:tcPr>
            <w:tcW w:type="dxa" w:w="2268"/>
            <w:vAlign w:val="center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Var(</w:t>
            </w:r>
            <w:r>
              <w:rPr>
                <w:i/>
                <w:sz w:val="18"/>
              </w:rPr>
              <w:t>Ā</w:t>
            </w:r>
            <w:r>
              <w:rPr>
                <w:sz w:val="18"/>
                <w:vertAlign w:val="subscript"/>
              </w:rPr>
              <w:t>32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041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信息下界</w:t>
            </w:r>
          </w:p>
        </w:tc>
        <w:tc>
          <w:tcPr>
            <w:tcW w:type="dxa" w:w="2041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0.131</w:t>
            </w:r>
          </w:p>
        </w:tc>
        <w:tc>
          <w:tcPr>
            <w:tcW w:type="dxa" w:w="1928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0.415</w:t>
            </w:r>
          </w:p>
        </w:tc>
        <w:tc>
          <w:tcPr>
            <w:tcW w:type="dxa" w:w="2268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0.144</w:t>
            </w:r>
          </w:p>
        </w:tc>
      </w:tr>
      <w:tr>
        <w:tc>
          <w:tcPr>
            <w:tcW w:type="dxa" w:w="2041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固定权重线性化</w:t>
            </w:r>
          </w:p>
        </w:tc>
        <w:tc>
          <w:tcPr>
            <w:tcW w:type="dxa" w:w="2041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0.087</w:t>
            </w:r>
          </w:p>
        </w:tc>
        <w:tc>
          <w:tcPr>
            <w:tcW w:type="dxa" w:w="1928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0.277</w:t>
            </w:r>
          </w:p>
        </w:tc>
        <w:tc>
          <w:tcPr>
            <w:tcW w:type="dxa" w:w="2268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0.096</w:t>
            </w:r>
          </w:p>
        </w:tc>
      </w:tr>
      <w:tr>
        <w:tc>
          <w:tcPr>
            <w:tcW w:type="dxa" w:w="2041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完整传播</w:t>
            </w:r>
          </w:p>
        </w:tc>
        <w:tc>
          <w:tcPr>
            <w:tcW w:type="dxa" w:w="2041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0.207</w:t>
            </w:r>
          </w:p>
        </w:tc>
        <w:tc>
          <w:tcPr>
            <w:tcW w:type="dxa" w:w="1928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0.547</w:t>
            </w:r>
          </w:p>
        </w:tc>
        <w:tc>
          <w:tcPr>
            <w:tcW w:type="dxa" w:w="2268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0.224</w:t>
            </w:r>
          </w:p>
        </w:tc>
      </w:tr>
      <w:tr>
        <w:tc>
          <w:tcPr>
            <w:tcW w:type="dxa" w:w="2041"/>
            <w:vAlign w:val="center"/>
            <w:tcBorders>
              <w:bottom w:val="single" w:sz="12" w:space="0" w:color="auto"/>
            </w:tcBorders>
          </w:tcPr>
          <w:p>
            <w:pPr>
              <w:keepNext w:val="0"/>
              <w:overflowPunct w:val="1"/>
              <w:spacing w:line="240" w:lineRule="auto"/>
              <w:jc w:val="center"/>
            </w:pPr>
            <w:r>
              <w:rPr>
                <w:sz w:val="18"/>
              </w:rPr>
              <w:t>仿真</w:t>
            </w:r>
          </w:p>
        </w:tc>
        <w:tc>
          <w:tcPr>
            <w:tcW w:type="dxa" w:w="2041"/>
            <w:vAlign w:val="center"/>
            <w:tcBorders>
              <w:bottom w:val="single" w:sz="12" w:space="0" w:color="auto"/>
            </w:tcBorders>
          </w:tcPr>
          <w:p>
            <w:pPr>
              <w:keepNext w:val="0"/>
              <w:overflowPunct w:val="1"/>
              <w:spacing w:line="240" w:lineRule="auto"/>
              <w:jc w:val="center"/>
            </w:pPr>
            <w:r>
              <w:rPr>
                <w:sz w:val="18"/>
              </w:rPr>
              <w:t>0.212 (0.199–0.227)</w:t>
            </w:r>
          </w:p>
        </w:tc>
        <w:tc>
          <w:tcPr>
            <w:tcW w:type="dxa" w:w="1928"/>
            <w:vAlign w:val="center"/>
            <w:tcBorders>
              <w:bottom w:val="single" w:sz="12" w:space="0" w:color="auto"/>
            </w:tcBorders>
          </w:tcPr>
          <w:p>
            <w:pPr>
              <w:keepNext w:val="0"/>
              <w:overflowPunct w:val="1"/>
              <w:spacing w:line="240" w:lineRule="auto"/>
              <w:jc w:val="center"/>
            </w:pPr>
            <w:r>
              <w:rPr>
                <w:sz w:val="18"/>
              </w:rPr>
              <w:t>0.543</w:t>
            </w:r>
          </w:p>
        </w:tc>
        <w:tc>
          <w:tcPr>
            <w:tcW w:type="dxa" w:w="2268"/>
            <w:vAlign w:val="center"/>
            <w:tcBorders>
              <w:bottom w:val="single" w:sz="12" w:space="0" w:color="auto"/>
            </w:tcBorders>
          </w:tcPr>
          <w:p>
            <w:pPr>
              <w:keepNext w:val="0"/>
              <w:overflowPunct w:val="1"/>
              <w:spacing w:line="240" w:lineRule="auto"/>
              <w:jc w:val="center"/>
            </w:pPr>
            <w:r>
              <w:rPr>
                <w:sz w:val="18"/>
              </w:rPr>
              <w:t>0.229 (0.214–0.243)</w:t>
            </w:r>
          </w:p>
        </w:tc>
      </w:tr>
    </w:tbl>
    <w:p>
      <w:pPr>
        <w:overflowPunct w:val="1"/>
        <w:spacing w:line="480" w:lineRule="auto"/>
        <w:jc w:val="both"/>
      </w:pPr>
    </w:p>
    <w:p>
      <w:pPr>
        <w:overflowPunct w:val="1"/>
        <w:spacing w:line="480" w:lineRule="auto"/>
        <w:ind w:firstLine="420"/>
        <w:jc w:val="both"/>
      </w:pPr>
      <w:r>
        <w:rPr/>
        <w:t>图2给出方差随</w:t>
      </w:r>
      <w:r>
        <w:rPr>
          <w:i/>
        </w:rPr>
        <w:t>n</w:t>
      </w:r>
      <w:r>
        <w:rPr/>
        <w:t>的变化。</w:t>
      </w:r>
      <w:r>
        <w:rPr>
          <w:i/>
        </w:rPr>
        <w:t>M</w:t>
      </w:r>
      <w:r>
        <w:rPr/>
        <w:t xml:space="preserve"> = 2</w:t>
      </w:r>
      <w:r>
        <w:rPr/>
        <w:t>时，仿真方差趋于式(12)预测的共享项，固定权重的预测始终低于下界，而独立假设的预测按</w:t>
      </w:r>
      <w:r>
        <w:rPr/>
        <w:t>1/</w:t>
      </w:r>
      <w:r>
        <w:rPr>
          <w:i/>
        </w:rPr>
        <w:t>n</w:t>
      </w:r>
      <w:r>
        <w:rPr/>
        <w:t>持续下降。</w:t>
      </w:r>
      <w:r>
        <w:rPr>
          <w:i/>
        </w:rPr>
        <w:t>M</w:t>
      </w:r>
      <w:r>
        <w:rPr/>
        <w:t xml:space="preserve"> = 64</w:t>
      </w:r>
      <w:r>
        <w:rPr/>
        <w:t>时共享项很小，除独立假设外各预测一致。在16种条件中，预测的共享项落在仿真共享协方差95%区间内的有16种；在64个条件与</w:t>
      </w:r>
      <w:r>
        <w:rPr>
          <w:i/>
        </w:rPr>
        <w:t>n</w:t>
      </w:r>
      <w:r>
        <w:rPr/>
        <w:t>的组合中，</w:t>
      </w:r>
      <w:r>
        <w:rPr>
          <w:i/>
        </w:rPr>
        <w:t>Ā</w:t>
      </w:r>
      <w:r>
        <w:rPr>
          <w:i/>
          <w:vertAlign w:val="subscript"/>
        </w:rPr>
        <w:t>n</w:t>
      </w:r>
      <w:r>
        <w:rPr/>
        <w:t>的预测方差落在仿真方差95%区间内的有64个。</w:t>
      </w:r>
    </w:p>
    <w:p>
      <w:pPr>
        <w:keepNext/>
        <w:overflowPunct w:val="1"/>
        <w:snapToGrid w:val="0"/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214539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varian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14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overflowPunct w:val="1"/>
        <w:spacing w:line="480" w:lineRule="auto"/>
        <w:jc w:val="center"/>
      </w:pPr>
      <w:r>
        <w:rPr/>
        <w:t xml:space="preserve">图2  </w:t>
      </w:r>
      <w:r>
        <w:rPr/>
        <w:t xml:space="preserve">0 dB时平均衰减的方差随平均观测次数的变化：(a) </w:t>
      </w:r>
      <w:r>
        <w:rPr>
          <w:i/>
        </w:rPr>
        <w:t>M</w:t>
      </w:r>
      <w:r>
        <w:rPr/>
        <w:t xml:space="preserve"> = 2；(b) </w:t>
      </w:r>
      <w:r>
        <w:rPr>
          <w:i/>
        </w:rPr>
        <w:t>M</w:t>
      </w:r>
      <w:r>
        <w:rPr/>
        <w:t xml:space="preserve"> = 64。点为仿真值及其95%区间。</w:t>
      </w:r>
    </w:p>
    <w:p>
      <w:pPr>
        <w:pStyle w:val="2"/>
        <w:overflowPunct w:val="1"/>
        <w:spacing w:line="480" w:lineRule="auto"/>
      </w:pPr>
      <w:r>
        <w:rPr/>
        <w:t>3.3 共享分量与适用范围</w:t>
      </w:r>
    </w:p>
    <w:p>
      <w:pPr>
        <w:overflowPunct w:val="1"/>
        <w:spacing w:line="480" w:lineRule="auto"/>
        <w:ind w:firstLine="420"/>
        <w:jc w:val="both"/>
      </w:pPr>
      <w:r>
        <w:rPr/>
        <w:t>图3(a)将所有条件置于同一坐标下。剖面估计器的共享方差高于下界，倍数为</w:t>
      </w:r>
      <w:r>
        <w:rPr/>
        <w:t>1 + 2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>/(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 xml:space="preserve"> + </w:t>
      </w:r>
      <w:r>
        <w:rPr>
          <w:i/>
        </w:rPr>
        <w:t>γ</w:t>
      </w:r>
      <w:r>
        <w:rPr>
          <w:vertAlign w:val="subscript"/>
        </w:rPr>
        <w:t>t</w:t>
      </w:r>
      <w:r>
        <w:rPr/>
        <w:t>)</w:t>
      </w:r>
      <w:r>
        <w:rPr>
          <w:vertAlign w:val="superscript"/>
        </w:rPr>
        <w:t>2</w:t>
      </w:r>
      <w:r>
        <w:rPr/>
        <w:t>；固定权重线性化则低于下界，倍数为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>/(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 xml:space="preserve"> + 1)</w:t>
      </w:r>
      <w:r>
        <w:rPr/>
        <w:t>。主条件下两者分别为1.58和0.67。两种偏差都随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>增大而消失，因此噪声能量项只在短参考或低信噪比时起作用。图3(b)给出式(7)的共享占比：主条件下</w:t>
      </w:r>
      <w:r>
        <w:rPr>
          <w:i/>
        </w:rPr>
        <w:t>n</w:t>
      </w:r>
      <w:r>
        <w:rPr/>
        <w:t xml:space="preserve"> = 32时达到91%，</w:t>
      </w:r>
      <w:r>
        <w:rPr>
          <w:i/>
        </w:rPr>
        <w:t>M</w:t>
      </w:r>
      <w:r>
        <w:rPr/>
        <w:t xml:space="preserve"> = 64时降至24%。</w:t>
      </w:r>
    </w:p>
    <w:p>
      <w:pPr>
        <w:keepNext/>
        <w:overflowPunct w:val="1"/>
        <w:snapToGrid w:val="0"/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257644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har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76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overflowPunct w:val="1"/>
        <w:spacing w:line="480" w:lineRule="auto"/>
        <w:jc w:val="center"/>
      </w:pPr>
      <w:r>
        <w:rPr/>
        <w:t xml:space="preserve">图3  </w:t>
      </w:r>
      <w:r>
        <w:rPr/>
        <w:t>(a) 共享方差与信息下界之比，点为仿真值及其95%区间；(b) 2 dB衰减下共享项在下界中的占比，即式(7)。</w:t>
      </w:r>
    </w:p>
    <w:p>
      <w:pPr>
        <w:pStyle w:val="2"/>
        <w:overflowPunct w:val="1"/>
        <w:spacing w:line="480" w:lineRule="auto"/>
      </w:pPr>
      <w:r>
        <w:rPr/>
        <w:t>3.4 覆盖率、宽度与计算成本</w:t>
      </w:r>
    </w:p>
    <w:p>
      <w:pPr>
        <w:overflowPunct w:val="1"/>
        <w:spacing w:line="480" w:lineRule="auto"/>
        <w:ind w:firstLine="420"/>
        <w:jc w:val="both"/>
      </w:pPr>
      <w:r>
        <w:rPr/>
        <w:t>图4给出</w:t>
      </w:r>
      <w:r>
        <w:rPr>
          <w:i/>
        </w:rPr>
        <w:t>n</w:t>
      </w:r>
      <w:r>
        <w:rPr/>
        <w:t xml:space="preserve"> = 32时名义95%区间的实际覆盖率。式(14)的闭式区间在全部16种条件下的覆盖率为94.5–95.4%，在所有</w:t>
      </w:r>
      <w:r>
        <w:rPr>
          <w:i/>
        </w:rPr>
        <w:t>n</w:t>
      </w:r>
      <w:r>
        <w:rPr/>
        <w:t>下为93.9–96.0%。参考为2个时隙时，固定权重区间的覆盖率仅为79.6–94.8%；忽略共享协方差时，覆盖率低至34.8%。参数化自助法的覆盖率为94.0–95.2%。</w:t>
      </w:r>
    </w:p>
    <w:p>
      <w:pPr>
        <w:keepNext/>
        <w:overflowPunct w:val="1"/>
        <w:snapToGrid w:val="0"/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196341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ver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63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overflowPunct w:val="1"/>
        <w:spacing w:line="480" w:lineRule="auto"/>
        <w:jc w:val="center"/>
      </w:pPr>
      <w:r>
        <w:rPr/>
        <w:t xml:space="preserve">图4  </w:t>
      </w:r>
      <w:r>
        <w:rPr/>
        <w:t>16种条件下</w:t>
      </w:r>
      <w:r>
        <w:rPr>
          <w:i/>
        </w:rPr>
        <w:t>n</w:t>
      </w:r>
      <w:r>
        <w:rPr/>
        <w:t xml:space="preserve"> = 32时名义95%区间的实际覆盖率（%），每种条件2000个参考。</w:t>
      </w:r>
    </w:p>
    <w:p>
      <w:pPr>
        <w:overflowPunct w:val="1"/>
        <w:spacing w:line="480" w:lineRule="auto"/>
        <w:ind w:firstLine="420"/>
        <w:jc w:val="both"/>
      </w:pPr>
      <w:r>
        <w:rPr/>
        <w:t>表3和图5详细给出了主条件的结果。在2000个情形中，闭式区间覆盖1889个（94.5%），固定权重线性化覆盖1592个（79.6%）；配对比较中，仅被闭式区间覆盖的有297个，仅被线性化区间覆盖的有0个（精确McNemar检验，</w:t>
      </w:r>
      <w:r>
        <w:rPr>
          <w:i/>
        </w:rPr>
        <w:t>p</w:t>
      </w:r>
      <w:r>
        <w:rPr/>
        <w:t xml:space="preserve"> = </w:t>
      </w:r>
      <w:r>
        <w:rPr/>
        <w:t>7.9 × 10</w:t>
      </w:r>
      <w:r>
        <w:rPr>
          <w:vertAlign w:val="superscript"/>
        </w:rPr>
        <w:t>−90</w:t>
      </w:r>
      <w:r>
        <w:rPr/>
        <w:t>）。闭式区间与自助法区间无显著差异（</w:t>
      </w:r>
      <w:r>
        <w:rPr>
          <w:i/>
        </w:rPr>
        <w:t>p</w:t>
      </w:r>
      <w:r>
        <w:rPr/>
        <w:t xml:space="preserve"> = 0.185），平均宽度几乎相同（分别为1.86 dB和1.85 dB）。在50%至95%的名义水平范围内，闭式区间覆盖率与名义水平的偏差不超过1.4个百分点（图5(a)）。闭式区间比固定权重区间宽53%，多出的部分正是线性化所遗漏的方差。当衰减在32次观测中由1 dB线性增至3 dB时，闭式区间在所有</w:t>
      </w:r>
      <w:r>
        <w:rPr>
          <w:i/>
        </w:rPr>
        <w:t>n</w:t>
      </w:r>
      <w:r>
        <w:rPr/>
        <w:t>下的覆盖率保持在94.3–94.9%，而固定权重线性化在</w:t>
      </w:r>
      <w:r>
        <w:rPr>
          <w:i/>
        </w:rPr>
        <w:t>n</w:t>
      </w:r>
      <w:r>
        <w:rPr/>
        <w:t xml:space="preserve"> = 32时仅为78.6%。闭式区间每个窗口的计算耗时为0.04 ms，低于固定权重线性化（0.18 ms）；自助法耗时135.9 ms，约为闭式方法的3300倍。</w:t>
      </w:r>
    </w:p>
    <w:p>
      <w:pPr>
        <w:keepNext/>
        <w:keepLines/>
        <w:overflowPunct w:val="1"/>
        <w:spacing w:line="480" w:lineRule="auto"/>
        <w:jc w:val="center"/>
      </w:pPr>
      <w:r>
        <w:rPr/>
        <w:t xml:space="preserve">表3  </w:t>
      </w:r>
      <w:r>
        <w:rPr/>
        <w:t>主条件下的名义95%区间（0 dB，</w:t>
      </w:r>
      <w:r>
        <w:rPr>
          <w:i/>
        </w:rPr>
        <w:t>M</w:t>
      </w:r>
      <w:r>
        <w:rPr/>
        <w:t xml:space="preserve"> = 2，</w:t>
      </w:r>
      <w:r>
        <w:rPr>
          <w:i/>
        </w:rPr>
        <w:t>n</w:t>
      </w:r>
      <w:r>
        <w:rPr/>
        <w:t xml:space="preserve"> = 32，2000个参考）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7"/>
        <w:gridCol w:w="1133"/>
        <w:gridCol w:w="2494"/>
        <w:gridCol w:w="1190"/>
        <w:gridCol w:w="1190"/>
      </w:tblGrid>
      <w:tr>
        <w:tc>
          <w:tcPr>
            <w:tcW w:type="dxa" w:w="2268"/>
            <w:vAlign w:val="center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方法</w:t>
            </w:r>
          </w:p>
        </w:tc>
        <w:tc>
          <w:tcPr>
            <w:tcW w:type="dxa" w:w="1134"/>
            <w:vAlign w:val="center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覆盖次数</w:t>
            </w:r>
          </w:p>
        </w:tc>
        <w:tc>
          <w:tcPr>
            <w:tcW w:type="dxa" w:w="2494"/>
            <w:vAlign w:val="center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覆盖率/%（95%区间）</w:t>
            </w:r>
          </w:p>
        </w:tc>
        <w:tc>
          <w:tcPr>
            <w:tcW w:type="dxa" w:w="1191"/>
            <w:vAlign w:val="center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宽度/dB</w:t>
            </w:r>
          </w:p>
        </w:tc>
        <w:tc>
          <w:tcPr>
            <w:tcW w:type="dxa" w:w="1191"/>
            <w:vAlign w:val="center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耗时/ms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独立假设（错误）</w:t>
            </w:r>
          </w:p>
        </w:tc>
        <w:tc>
          <w:tcPr>
            <w:tcW w:type="dxa" w:w="1134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697</w:t>
            </w:r>
          </w:p>
        </w:tc>
        <w:tc>
          <w:tcPr>
            <w:tcW w:type="dxa" w:w="2494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34.8 (32.8–37.0)</w:t>
            </w:r>
          </w:p>
        </w:tc>
        <w:tc>
          <w:tcPr>
            <w:tcW w:type="dxa" w:w="1191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0.42</w:t>
            </w:r>
          </w:p>
        </w:tc>
        <w:tc>
          <w:tcPr>
            <w:tcW w:type="dxa" w:w="1191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0.18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固定权重线性化</w:t>
            </w:r>
          </w:p>
        </w:tc>
        <w:tc>
          <w:tcPr>
            <w:tcW w:type="dxa" w:w="1134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1592</w:t>
            </w:r>
          </w:p>
        </w:tc>
        <w:tc>
          <w:tcPr>
            <w:tcW w:type="dxa" w:w="2494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79.6 (77.8–81.3)</w:t>
            </w:r>
          </w:p>
        </w:tc>
        <w:tc>
          <w:tcPr>
            <w:tcW w:type="dxa" w:w="1191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1.22</w:t>
            </w:r>
          </w:p>
        </w:tc>
        <w:tc>
          <w:tcPr>
            <w:tcW w:type="dxa" w:w="1191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0.18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完整闭式传播</w:t>
            </w:r>
          </w:p>
        </w:tc>
        <w:tc>
          <w:tcPr>
            <w:tcW w:type="dxa" w:w="1134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1889</w:t>
            </w:r>
          </w:p>
        </w:tc>
        <w:tc>
          <w:tcPr>
            <w:tcW w:type="dxa" w:w="2494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94.5 (93.4–95.4)</w:t>
            </w:r>
          </w:p>
        </w:tc>
        <w:tc>
          <w:tcPr>
            <w:tcW w:type="dxa" w:w="1191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1.86</w:t>
            </w:r>
          </w:p>
        </w:tc>
        <w:tc>
          <w:tcPr>
            <w:tcW w:type="dxa" w:w="1191"/>
            <w:vAlign w:val="center"/>
          </w:tcPr>
          <w:p>
            <w:pPr>
              <w:keepNext/>
              <w:overflowPunct w:val="1"/>
              <w:spacing w:line="240" w:lineRule="auto"/>
              <w:jc w:val="center"/>
            </w:pPr>
            <w:r>
              <w:rPr>
                <w:sz w:val="18"/>
              </w:rPr>
              <w:t>0.04</w:t>
            </w:r>
          </w:p>
        </w:tc>
      </w:tr>
      <w:tr>
        <w:tc>
          <w:tcPr>
            <w:tcW w:type="dxa" w:w="2268"/>
            <w:vAlign w:val="center"/>
            <w:tcBorders>
              <w:bottom w:val="single" w:sz="12" w:space="0" w:color="auto"/>
            </w:tcBorders>
          </w:tcPr>
          <w:p>
            <w:pPr>
              <w:keepNext w:val="0"/>
              <w:overflowPunct w:val="1"/>
              <w:spacing w:line="240" w:lineRule="auto"/>
              <w:jc w:val="center"/>
            </w:pPr>
            <w:r>
              <w:rPr>
                <w:sz w:val="18"/>
              </w:rPr>
              <w:t>参数化自助法</w:t>
            </w:r>
          </w:p>
        </w:tc>
        <w:tc>
          <w:tcPr>
            <w:tcW w:type="dxa" w:w="1134"/>
            <w:vAlign w:val="center"/>
            <w:tcBorders>
              <w:bottom w:val="single" w:sz="12" w:space="0" w:color="auto"/>
            </w:tcBorders>
          </w:tcPr>
          <w:p>
            <w:pPr>
              <w:keepNext w:val="0"/>
              <w:overflowPunct w:val="1"/>
              <w:spacing w:line="240" w:lineRule="auto"/>
              <w:jc w:val="center"/>
            </w:pPr>
            <w:r>
              <w:rPr>
                <w:sz w:val="18"/>
              </w:rPr>
              <w:t>1881</w:t>
            </w:r>
          </w:p>
        </w:tc>
        <w:tc>
          <w:tcPr>
            <w:tcW w:type="dxa" w:w="2494"/>
            <w:vAlign w:val="center"/>
            <w:tcBorders>
              <w:bottom w:val="single" w:sz="12" w:space="0" w:color="auto"/>
            </w:tcBorders>
          </w:tcPr>
          <w:p>
            <w:pPr>
              <w:keepNext w:val="0"/>
              <w:overflowPunct w:val="1"/>
              <w:spacing w:line="240" w:lineRule="auto"/>
              <w:jc w:val="center"/>
            </w:pPr>
            <w:r>
              <w:rPr>
                <w:sz w:val="18"/>
              </w:rPr>
              <w:t>94.0 (92.9–95.0)</w:t>
            </w:r>
          </w:p>
        </w:tc>
        <w:tc>
          <w:tcPr>
            <w:tcW w:type="dxa" w:w="1191"/>
            <w:vAlign w:val="center"/>
            <w:tcBorders>
              <w:bottom w:val="single" w:sz="12" w:space="0" w:color="auto"/>
            </w:tcBorders>
          </w:tcPr>
          <w:p>
            <w:pPr>
              <w:keepNext w:val="0"/>
              <w:overflowPunct w:val="1"/>
              <w:spacing w:line="240" w:lineRule="auto"/>
              <w:jc w:val="center"/>
            </w:pPr>
            <w:r>
              <w:rPr>
                <w:sz w:val="18"/>
              </w:rPr>
              <w:t>1.85</w:t>
            </w:r>
          </w:p>
        </w:tc>
        <w:tc>
          <w:tcPr>
            <w:tcW w:type="dxa" w:w="1191"/>
            <w:vAlign w:val="center"/>
            <w:tcBorders>
              <w:bottom w:val="single" w:sz="12" w:space="0" w:color="auto"/>
            </w:tcBorders>
          </w:tcPr>
          <w:p>
            <w:pPr>
              <w:keepNext w:val="0"/>
              <w:overflowPunct w:val="1"/>
              <w:spacing w:line="240" w:lineRule="auto"/>
              <w:jc w:val="center"/>
            </w:pPr>
            <w:r>
              <w:rPr>
                <w:sz w:val="18"/>
              </w:rPr>
              <w:t>135.9</w:t>
            </w:r>
          </w:p>
        </w:tc>
      </w:tr>
    </w:tbl>
    <w:p>
      <w:pPr>
        <w:overflowPunct w:val="1"/>
        <w:spacing w:line="480" w:lineRule="auto"/>
        <w:jc w:val="both"/>
      </w:pPr>
    </w:p>
    <w:p>
      <w:pPr>
        <w:keepNext/>
        <w:overflowPunct w:val="1"/>
        <w:snapToGrid w:val="0"/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264614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alibra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646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overflowPunct w:val="1"/>
        <w:spacing w:line="480" w:lineRule="auto"/>
        <w:jc w:val="center"/>
      </w:pPr>
      <w:r>
        <w:rPr/>
        <w:t xml:space="preserve">图5  </w:t>
      </w:r>
      <w:r>
        <w:rPr/>
        <w:t>主条件（0 dB，</w:t>
      </w:r>
      <w:r>
        <w:rPr>
          <w:i/>
        </w:rPr>
        <w:t>M</w:t>
      </w:r>
      <w:r>
        <w:rPr/>
        <w:t xml:space="preserve"> = 2，</w:t>
      </w:r>
      <w:r>
        <w:rPr>
          <w:i/>
        </w:rPr>
        <w:t>n</w:t>
      </w:r>
      <w:r>
        <w:rPr/>
        <w:t xml:space="preserve"> = 32）：(a) 实际覆盖率与名义水平的关系及Wilson 95%区间；(b) 95%区间的平均宽度。</w:t>
      </w:r>
    </w:p>
    <w:p>
      <w:pPr>
        <w:numPr>
          <w:ilvl w:val="0"/>
          <w:numId w:val="2"/>
        </w:numPr>
        <w:pStyle w:val="1"/>
        <w:overflowPunct w:val="1"/>
        <w:spacing w:line="480" w:lineRule="auto"/>
      </w:pPr>
      <w:r>
        <w:rPr/>
        <w:t>讨论</w:t>
      </w:r>
    </w:p>
    <w:p>
      <w:pPr>
        <w:pStyle w:val="2"/>
        <w:overflowPunct w:val="1"/>
        <w:spacing w:line="480" w:lineRule="auto"/>
      </w:pPr>
      <w:r>
        <w:rPr/>
        <w:t>4.1 共享参考何时起主导作用</w:t>
      </w:r>
    </w:p>
    <w:p>
      <w:pPr>
        <w:overflowPunct w:val="1"/>
        <w:spacing w:line="480" w:lineRule="auto"/>
        <w:ind w:firstLine="420"/>
        <w:jc w:val="both"/>
      </w:pPr>
      <w:r>
        <w:rPr/>
        <w:t>式(7)将参考的作用归结为比值</w:t>
      </w:r>
      <w:r>
        <w:rPr>
          <w:i/>
        </w:rPr>
        <w:t>na</w:t>
      </w:r>
      <w:r>
        <w:rPr>
          <w:vertAlign w:val="superscript"/>
        </w:rPr>
        <w:t>2</w:t>
      </w:r>
      <w:r>
        <w:rPr/>
        <w:t>/</w:t>
      </w:r>
      <w:r>
        <w:rPr>
          <w:i/>
        </w:rPr>
        <w:t>M</w:t>
      </w:r>
      <w:r>
        <w:rPr/>
        <w:t>。平均观测次数超过</w:t>
      </w:r>
      <w:r>
        <w:rPr>
          <w:i/>
        </w:rPr>
        <w:t>M</w:t>
      </w:r>
      <w:r>
        <w:rPr/>
        <w:t>/</w:t>
      </w:r>
      <w:r>
        <w:rPr>
          <w:i/>
        </w:rPr>
        <w:t>a</w:t>
      </w:r>
      <w:r>
        <w:rPr>
          <w:vertAlign w:val="superscript"/>
        </w:rPr>
        <w:t>2</w:t>
      </w:r>
      <w:r>
        <w:rPr/>
        <w:t>时，共享项即占主导：对于2 dB衰减，2个参考时隙时约为3次，64个时隙时约为101次。这在慢时间尺度上稀疏采样时尤为重要：若每分钟取一个时隙，</w:t>
      </w:r>
      <w:r>
        <w:rPr>
          <w:i/>
        </w:rPr>
        <w:t>M</w:t>
      </w:r>
      <w:r>
        <w:rPr/>
        <w:t>即为晴空参考的分钟数，而小时或降雨事件的累计估计需要平均数十至数百次观测。对于累计雨量，各时段的共享误差相干叠加，因此参考长度应随所需的平均窗口增长，而不应固定不变。按</w:t>
      </w:r>
      <w:r>
        <w:rPr>
          <w:i/>
        </w:rPr>
        <w:t>δR</w:t>
      </w:r>
      <w:r>
        <w:rPr/>
        <w:t>/</w:t>
      </w:r>
      <w:r>
        <w:rPr>
          <w:i/>
        </w:rPr>
        <w:t>R</w:t>
      </w:r>
      <w:r>
        <w:rPr/>
        <w:t xml:space="preserve"> ≈ </w:t>
      </w:r>
      <w:r>
        <w:rPr>
          <w:i/>
        </w:rPr>
        <w:t>δA</w:t>
      </w:r>
      <w:r>
        <w:rPr/>
        <w:t>/(</w:t>
      </w:r>
      <w:r>
        <w:rPr>
          <w:i/>
        </w:rPr>
        <w:t>αA</w:t>
      </w:r>
      <w:r>
        <w:rPr/>
        <w:t>)</w:t>
      </w:r>
      <w:r>
        <w:rPr/>
        <w:t>换算到雨强，主条件下的共享下限为0.45 dB，对应21.5 mm/h雨强下23%的相对误差，且无法通过平均消除；参考时隙增至64个时，该误差降至3.4%。</w:t>
      </w:r>
    </w:p>
    <w:p>
      <w:pPr>
        <w:pStyle w:val="2"/>
        <w:overflowPunct w:val="1"/>
        <w:spacing w:line="480" w:lineRule="auto"/>
      </w:pPr>
      <w:r>
        <w:rPr/>
        <w:t>4.2 固定权重线性化失效的原因</w:t>
      </w:r>
    </w:p>
    <w:p>
      <w:pPr>
        <w:overflowPunct w:val="1"/>
        <w:spacing w:line="480" w:lineRule="auto"/>
        <w:ind w:firstLine="420"/>
        <w:jc w:val="both"/>
      </w:pPr>
      <w:r>
        <w:rPr/>
        <w:t>固定权重线性化覆盖不足有两个可分离的原因。其一，作为插件量的含噪参考能量使其预测低于信息下界，相差因子</w:t>
      </w:r>
      <w:r>
        <w:rPr/>
        <w:t>1 + 1/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>（式(9)）。其二，固定权重舍弃了式(11)中的噪声能量项，而剖面估计器的实际方差比下界高约</w:t>
      </w:r>
      <w:r>
        <w:rPr/>
        <w:t>2/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>。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 xml:space="preserve"> = 2</w:t>
      </w:r>
      <w:r>
        <w:rPr/>
        <w:t>时，两者叠加使共享项被低估58%。参数化自助法通过重新计算估计器同时捕获了这两种效应，而闭式方法以低于线性化的计算成本达到了相同的覆盖率。对于没有闭式根的估计器，例如频率相关噪声的情形，自助法仍可作为检验手段。</w:t>
      </w:r>
    </w:p>
    <w:p>
      <w:pPr>
        <w:pStyle w:val="2"/>
        <w:overflowPunct w:val="1"/>
        <w:spacing w:line="480" w:lineRule="auto"/>
      </w:pPr>
      <w:r>
        <w:rPr/>
        <w:t>4.3 局限与展望</w:t>
      </w:r>
    </w:p>
    <w:p>
      <w:pPr>
        <w:overflowPunct w:val="1"/>
        <w:spacing w:line="480" w:lineRule="auto"/>
        <w:ind w:firstLine="420"/>
        <w:jc w:val="both"/>
      </w:pPr>
      <w:r>
        <w:rPr/>
        <w:t>推导假设导频间为白噪声，且在参考复用期间信道保持不变。信道或接收增益的缓慢漂移会引入随参考使用时长增长的共享误差，在已知其谱特性后，可作为附加的协方差项纳入。本文考虑的是总附加衰减，从中分离雨衰与湿天线衰减需要额外的模型（Schleiss et al., 2013；Pastorek et al., 2022）。验证基于符合标准DM-RS结构的仿真NR波形，下一步将把该方法应用于实际运营链路记录的DM-RS。</w:t>
      </w:r>
    </w:p>
    <w:p>
      <w:pPr>
        <w:numPr>
          <w:ilvl w:val="0"/>
          <w:numId w:val="2"/>
        </w:numPr>
        <w:pStyle w:val="1"/>
        <w:overflowPunct w:val="1"/>
        <w:spacing w:line="480" w:lineRule="auto"/>
      </w:pPr>
      <w:r>
        <w:rPr/>
        <w:t>结论</w:t>
      </w:r>
    </w:p>
    <w:p>
      <w:pPr>
        <w:overflowPunct w:val="1"/>
        <w:spacing w:line="480" w:lineRule="auto"/>
        <w:ind w:firstLine="420"/>
        <w:jc w:val="both"/>
      </w:pPr>
      <w:r>
        <w:rPr/>
        <w:t>本文定量刻画了复用晴空参考给5G NR导频降雨衰减估计带来的不确定性。Cramér–Rao下界将不可消除的共享下限与随平均减小的项分开，共享占比</w:t>
      </w:r>
      <w:r>
        <w:rPr>
          <w:i/>
        </w:rPr>
        <w:t>na</w:t>
      </w:r>
      <w:r>
        <w:rPr>
          <w:vertAlign w:val="superscript"/>
        </w:rPr>
        <w:t>2</w:t>
      </w:r>
      <w:r>
        <w:rPr/>
        <w:t>/(</w:t>
      </w:r>
      <w:r>
        <w:rPr>
          <w:i/>
        </w:rPr>
        <w:t>M</w:t>
      </w:r>
      <w:r>
        <w:rPr/>
        <w:t xml:space="preserve"> + </w:t>
      </w:r>
      <w:r>
        <w:rPr>
          <w:i/>
        </w:rPr>
        <w:t>na</w:t>
      </w:r>
      <w:r>
        <w:rPr>
          <w:vertAlign w:val="superscript"/>
        </w:rPr>
        <w:t>2</w:t>
      </w:r>
      <w:r>
        <w:rPr/>
        <w:t>)</w:t>
      </w:r>
      <w:r>
        <w:rPr/>
        <w:t>可直接判断平均估计受参考误差还是接收噪声限制。常规固定权重线性化低于该下界，相差因子</w:t>
      </w:r>
      <w:r>
        <w:rPr/>
        <w:t>1 + 1/</w:t>
      </w:r>
      <w:r>
        <w:rPr>
          <w:i/>
        </w:rPr>
        <w:t>γ</w:t>
      </w:r>
      <w:r>
        <w:rPr>
          <w:vertAlign w:val="subscript"/>
        </w:rPr>
        <w:t>r</w:t>
      </w:r>
      <w:r>
        <w:rPr/>
        <w:t>，并遗漏了剖面估计器的噪声能量项；本文推导的完整闭式传播保留了这些项。在NR DM-RS链路仿真中，闭式区间在全部条件下对名义95%水平的覆盖率为94.5–95.4%，包括固定权重线性化仅覆盖79.6%的0 dB、2时隙参考条件，并以很小的计算代价得到与参数化自助法一致的结果。因此，参考长度应与平均窗口一同选择，闭式方差则可以几乎零成本地随每个导频衰减估计一并给出。</w:t>
      </w:r>
    </w:p>
    <w:p>
      <w:pPr>
        <w:pStyle w:val="1"/>
        <w:overflowPunct w:val="1"/>
        <w:spacing w:line="480" w:lineRule="auto"/>
      </w:pPr>
      <w:r>
        <w:rPr/>
        <w:t>数据与代码可用性</w:t>
      </w:r>
    </w:p>
    <w:p>
      <w:pPr>
        <w:overflowPunct w:val="1"/>
        <w:spacing w:line="480" w:lineRule="auto"/>
        <w:ind w:firstLine="420"/>
        <w:jc w:val="both"/>
      </w:pPr>
      <w:r>
        <w:rPr/>
        <w:t>复现全部图表所需的代码、配置文件和结果已公开于https://github.com/KJTWangyw/Rain-5G-A。</w:t>
      </w:r>
    </w:p>
    <w:p>
      <w:pPr>
        <w:pStyle w:val="1"/>
        <w:overflowPunct w:val="1"/>
        <w:spacing w:line="480" w:lineRule="auto"/>
      </w:pPr>
      <w:r>
        <w:rPr/>
        <w:t>参考文献</w:t>
      </w:r>
    </w:p>
    <w:p>
      <w:pPr>
        <w:overflowPunct w:val="1"/>
        <w:spacing w:line="480" w:lineRule="auto"/>
        <w:ind w:left="420" w:hanging="420"/>
        <w:jc w:val="both"/>
      </w:pPr>
      <w:r>
        <w:rPr/>
        <w:t>3GPP. (2024). NR; Physical channels and modulation (3GPP TS 38.211 version 18.3.0 Release 18). ETSI TS 138 211 V18.3.0.</w:t>
      </w:r>
    </w:p>
    <w:p>
      <w:pPr>
        <w:overflowPunct w:val="1"/>
        <w:spacing w:line="480" w:lineRule="auto"/>
        <w:ind w:left="420" w:hanging="420"/>
        <w:jc w:val="both"/>
      </w:pPr>
      <w:r>
        <w:rPr/>
        <w:t>Chwala, C., &amp; Kunstmann, H. (2019). Commercial microwave link networks for rainfall observation: Assessment of the current status and future challenges. WIREs Water, 6(2), e1337.</w:t>
      </w:r>
    </w:p>
    <w:p>
      <w:pPr>
        <w:overflowPunct w:val="1"/>
        <w:spacing w:line="480" w:lineRule="auto"/>
        <w:ind w:left="420" w:hanging="420"/>
        <w:jc w:val="both"/>
      </w:pPr>
      <w:r>
        <w:rPr/>
        <w:t>Efron, B. (1979). Bootstrap methods: Another look at the jackknife. The Annals of Statistics, 7(1), 1-26.</w:t>
      </w:r>
    </w:p>
    <w:p>
      <w:pPr>
        <w:overflowPunct w:val="1"/>
        <w:spacing w:line="480" w:lineRule="auto"/>
        <w:ind w:left="420" w:hanging="420"/>
        <w:jc w:val="both"/>
      </w:pPr>
      <w:r>
        <w:rPr/>
        <w:t>Han, C., Huo, J., Gao, Q., Su, G., &amp; Wang, H. (2020). Rainfall monitoring based on next-generation millimeter-wave backhaul technologies in a dense urban environment. Remote Sensing, 12(6), 1045.</w:t>
      </w:r>
    </w:p>
    <w:p>
      <w:pPr>
        <w:overflowPunct w:val="1"/>
        <w:spacing w:line="480" w:lineRule="auto"/>
        <w:ind w:left="420" w:hanging="420"/>
        <w:jc w:val="both"/>
      </w:pPr>
      <w:r>
        <w:rPr/>
        <w:t>ITU-R. (2005). Specific attenuation model for rain for use in prediction methods (Recommendation ITU-R P.838-3). International Telecommunication Union.</w:t>
      </w:r>
    </w:p>
    <w:p>
      <w:pPr>
        <w:overflowPunct w:val="1"/>
        <w:spacing w:line="480" w:lineRule="auto"/>
        <w:ind w:left="420" w:hanging="420"/>
        <w:jc w:val="both"/>
      </w:pPr>
      <w:r>
        <w:rPr/>
        <w:t>JCGM. (2008). Evaluation of measurement data—Supplement 1 to the "Guide to the expression of uncertainty in measurement"—Propagation of distributions using a Monte Carlo method (JCGM 101:2008). Joint Committee for Guides in Metrology.</w:t>
      </w:r>
    </w:p>
    <w:p>
      <w:pPr>
        <w:overflowPunct w:val="1"/>
        <w:spacing w:line="480" w:lineRule="auto"/>
        <w:ind w:left="420" w:hanging="420"/>
        <w:jc w:val="both"/>
      </w:pPr>
      <w:r>
        <w:rPr/>
        <w:t>Kay, S. M. (1993). Fundamentals of statistical signal processing: Estimation theory. Prentice Hall.</w:t>
      </w:r>
    </w:p>
    <w:p>
      <w:pPr>
        <w:overflowPunct w:val="1"/>
        <w:spacing w:line="480" w:lineRule="auto"/>
        <w:ind w:left="420" w:hanging="420"/>
        <w:jc w:val="both"/>
      </w:pPr>
      <w:r>
        <w:rPr/>
        <w:t>Leijnse, H., Uijlenhoet, R., &amp; Stricker, J. N. M. (2007). Rainfall measurement using radio links from cellular communication networks. Water Resources Research, 43(3), W03201.</w:t>
      </w:r>
    </w:p>
    <w:p>
      <w:pPr>
        <w:overflowPunct w:val="1"/>
        <w:spacing w:line="480" w:lineRule="auto"/>
        <w:ind w:left="420" w:hanging="420"/>
        <w:jc w:val="both"/>
      </w:pPr>
      <w:r>
        <w:rPr/>
        <w:t>Liu, F., Cui, Y., Masouros, C., Xu, J., Han, T. X., Eldar, Y. C., &amp; Buzzi, S. (2022). Integrated sensing and communications: Toward dual-functional wireless networks for 6G and beyond. IEEE Journal on Selected Areas in Communications, 40(6), 1728-1767.</w:t>
      </w:r>
    </w:p>
    <w:p>
      <w:pPr>
        <w:overflowPunct w:val="1"/>
        <w:spacing w:line="480" w:lineRule="auto"/>
        <w:ind w:left="420" w:hanging="420"/>
        <w:jc w:val="both"/>
      </w:pPr>
      <w:r>
        <w:rPr/>
        <w:t>Messer, H., Zinevich, A., &amp; Alpert, P. (2006). Environmental monitoring by wireless communication networks. Science, 312(5774), 713.</w:t>
      </w:r>
    </w:p>
    <w:p>
      <w:pPr>
        <w:overflowPunct w:val="1"/>
        <w:spacing w:line="480" w:lineRule="auto"/>
        <w:ind w:left="420" w:hanging="420"/>
        <w:jc w:val="both"/>
      </w:pPr>
      <w:r>
        <w:rPr/>
        <w:t>Overeem, A., Leijnse, H., &amp; Uijlenhoet, R. (2013). Country-wide rainfall maps from cellular communication networks. Proceedings of the National Academy of Sciences, 110(8), 2741-2745.</w:t>
      </w:r>
    </w:p>
    <w:p>
      <w:pPr>
        <w:overflowPunct w:val="1"/>
        <w:spacing w:line="480" w:lineRule="auto"/>
        <w:ind w:left="420" w:hanging="420"/>
        <w:jc w:val="both"/>
      </w:pPr>
      <w:r>
        <w:rPr/>
        <w:t>Overeem, A., Leijnse, H., &amp; Uijlenhoet, R. (2016). Retrieval algorithm for rainfall mapping from microwave links in a cellular communication network. Atmospheric Measurement Techniques, 9(5), 2425-2444.</w:t>
      </w:r>
    </w:p>
    <w:p>
      <w:pPr>
        <w:overflowPunct w:val="1"/>
        <w:spacing w:line="480" w:lineRule="auto"/>
        <w:ind w:left="420" w:hanging="420"/>
        <w:jc w:val="both"/>
      </w:pPr>
      <w:r>
        <w:rPr/>
        <w:t>Pastorek, J., Fencl, M., Rieckermann, J., &amp; Bareš, V. (2022). Precipitation estimates from commercial microwave links: Practical approaches to wet-antenna correction. IEEE Transactions on Geoscience and Remote Sensing, 60, 4104409.</w:t>
      </w:r>
    </w:p>
    <w:p>
      <w:pPr>
        <w:overflowPunct w:val="1"/>
        <w:spacing w:line="480" w:lineRule="auto"/>
        <w:ind w:left="420" w:hanging="420"/>
        <w:jc w:val="both"/>
      </w:pPr>
      <w:r>
        <w:rPr/>
        <w:t>Rios Gaona, M. F., Overeem, A., Leijnse, H., &amp; Uijlenhoet, R. (2015). Measurement and interpolation uncertainties in rainfall maps from cellular communication networks. Hydrology and Earth System Sciences, 19(8), 3571-3584.</w:t>
      </w:r>
    </w:p>
    <w:p>
      <w:pPr>
        <w:overflowPunct w:val="1"/>
        <w:spacing w:line="480" w:lineRule="auto"/>
        <w:ind w:left="420" w:hanging="420"/>
        <w:jc w:val="both"/>
      </w:pPr>
      <w:r>
        <w:rPr/>
        <w:t>Schleiss, M., Rieckermann, J., &amp; Berne, A. (2013). Quantification and modeling of wet-antenna attenuation for commercial microwave links. IEEE Geoscience and Remote Sensing Letters, 10(5), 1195-1199.</w:t>
      </w:r>
    </w:p>
    <w:p>
      <w:pPr>
        <w:overflowPunct w:val="1"/>
        <w:spacing w:line="480" w:lineRule="auto"/>
        <w:ind w:left="420" w:hanging="420"/>
        <w:jc w:val="both"/>
      </w:pPr>
      <w:r>
        <w:rPr/>
        <w:t>Zinevich, A., Messer, H., &amp; Alpert, P. (2010). Prediction of rainfall intensity measurement errors using commercial microwave communication links. Atmospheric Measurement Techniques, 3(5), 1385-1402.</w:t>
      </w:r>
    </w:p>
    <w:sectPr w:rsidR="009F00B1" w:rsidRPr="003F3B4A" w:rsidSect="000A60F1">
      <w:headerReference w:type="default" r:id="rId62"/>
      <w:footerReference w:type="default" r:id="rId63"/>
      <w:pgSz w:w="11906" w:h="16838"/>
      <w:pgMar w:top="1440" w:right="1800" w:bottom="1440" w:left="1800" w:header="624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30684" w14:textId="77777777" w:rsidR="00967E7F" w:rsidRDefault="00967E7F" w:rsidP="0085124A">
      <w:pPr>
        <w:spacing w:line="240" w:lineRule="auto"/>
      </w:pPr>
      <w:r>
        <w:separator/>
      </w:r>
    </w:p>
  </w:endnote>
  <w:endnote w:type="continuationSeparator" w:id="0">
    <w:p w14:paraId="3A877AA7" w14:textId="77777777" w:rsidR="00967E7F" w:rsidRDefault="00967E7F" w:rsidP="008512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73529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598169D" w14:textId="52B65879" w:rsidR="00EB7B54" w:rsidRDefault="00EB7B54">
            <w:pPr>
              <w:pStyle w:val="a5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27F39">
              <w:rPr>
                <w:b/>
                <w:bCs/>
                <w:noProof/>
              </w:rPr>
              <w:t>65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27F39">
              <w:rPr>
                <w:b/>
                <w:bCs/>
                <w:noProof/>
              </w:rPr>
              <w:t>71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55F42A" w14:textId="77777777" w:rsidR="00EB7B54" w:rsidRDefault="00EB7B5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84AD1" w14:textId="77777777" w:rsidR="00967E7F" w:rsidRDefault="00967E7F" w:rsidP="0085124A">
      <w:pPr>
        <w:spacing w:line="240" w:lineRule="auto"/>
      </w:pPr>
      <w:r>
        <w:separator/>
      </w:r>
    </w:p>
  </w:footnote>
  <w:footnote w:type="continuationSeparator" w:id="0">
    <w:p w14:paraId="4B1225FF" w14:textId="77777777" w:rsidR="00967E7F" w:rsidRDefault="00967E7F" w:rsidP="008512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6034C" w14:textId="77777777" w:rsidR="00EB7B54" w:rsidRPr="008A28BF" w:rsidRDefault="00EB7B54" w:rsidP="00F04FD7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432F"/>
    <w:multiLevelType w:val="hybridMultilevel"/>
    <w:tmpl w:val="D6F28BAE"/>
    <w:lvl w:ilvl="0" w:tplc="A8F8BD12">
      <w:numFmt w:val="bullet"/>
      <w:lvlText w:val="•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E85E88"/>
    <w:multiLevelType w:val="hybridMultilevel"/>
    <w:tmpl w:val="A4DC149E"/>
    <w:lvl w:ilvl="0" w:tplc="2A4869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A9D1FAF"/>
    <w:multiLevelType w:val="multilevel"/>
    <w:tmpl w:val="9A6828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68" w:hanging="46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4D8226B9"/>
    <w:multiLevelType w:val="hybridMultilevel"/>
    <w:tmpl w:val="3A30AFDA"/>
    <w:lvl w:ilvl="0" w:tplc="574A369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509D6BEF"/>
    <w:multiLevelType w:val="hybridMultilevel"/>
    <w:tmpl w:val="25CE9D18"/>
    <w:lvl w:ilvl="0" w:tplc="1B9EEB14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23E59A2"/>
    <w:multiLevelType w:val="hybridMultilevel"/>
    <w:tmpl w:val="207A6486"/>
    <w:lvl w:ilvl="0" w:tplc="E560551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59E146F4"/>
    <w:multiLevelType w:val="hybridMultilevel"/>
    <w:tmpl w:val="B2089232"/>
    <w:lvl w:ilvl="0" w:tplc="EC0C151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11449774">
    <w:abstractNumId w:val="1"/>
  </w:num>
  <w:num w:numId="2" w16cid:durableId="669871913">
    <w:abstractNumId w:val="2"/>
  </w:num>
  <w:num w:numId="3" w16cid:durableId="746612646">
    <w:abstractNumId w:val="5"/>
  </w:num>
  <w:num w:numId="4" w16cid:durableId="1975524081">
    <w:abstractNumId w:val="6"/>
  </w:num>
  <w:num w:numId="5" w16cid:durableId="1273241040">
    <w:abstractNumId w:val="4"/>
  </w:num>
  <w:num w:numId="6" w16cid:durableId="377360992">
    <w:abstractNumId w:val="0"/>
  </w:num>
  <w:num w:numId="7" w16cid:durableId="1740246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F78"/>
    <w:rsid w:val="00001098"/>
    <w:rsid w:val="000013D5"/>
    <w:rsid w:val="00001FEF"/>
    <w:rsid w:val="0000274A"/>
    <w:rsid w:val="00002DBA"/>
    <w:rsid w:val="00003D8E"/>
    <w:rsid w:val="00004929"/>
    <w:rsid w:val="000052D2"/>
    <w:rsid w:val="00005352"/>
    <w:rsid w:val="00006186"/>
    <w:rsid w:val="000106A4"/>
    <w:rsid w:val="00013977"/>
    <w:rsid w:val="000139A1"/>
    <w:rsid w:val="000140D8"/>
    <w:rsid w:val="00015482"/>
    <w:rsid w:val="000155B2"/>
    <w:rsid w:val="00015FE9"/>
    <w:rsid w:val="00016540"/>
    <w:rsid w:val="00016E5A"/>
    <w:rsid w:val="00017F2D"/>
    <w:rsid w:val="00020B41"/>
    <w:rsid w:val="00021D3C"/>
    <w:rsid w:val="00022167"/>
    <w:rsid w:val="00022817"/>
    <w:rsid w:val="000230D9"/>
    <w:rsid w:val="00023903"/>
    <w:rsid w:val="000258A6"/>
    <w:rsid w:val="00025916"/>
    <w:rsid w:val="00025BDE"/>
    <w:rsid w:val="000260D5"/>
    <w:rsid w:val="0002747A"/>
    <w:rsid w:val="000305C5"/>
    <w:rsid w:val="000308D1"/>
    <w:rsid w:val="00030EAF"/>
    <w:rsid w:val="00031118"/>
    <w:rsid w:val="000311E6"/>
    <w:rsid w:val="00031925"/>
    <w:rsid w:val="000325E2"/>
    <w:rsid w:val="00033785"/>
    <w:rsid w:val="00033F1C"/>
    <w:rsid w:val="000340CB"/>
    <w:rsid w:val="0003475A"/>
    <w:rsid w:val="00034A6F"/>
    <w:rsid w:val="0003530D"/>
    <w:rsid w:val="00035FC3"/>
    <w:rsid w:val="000366E9"/>
    <w:rsid w:val="00036B75"/>
    <w:rsid w:val="00036FF5"/>
    <w:rsid w:val="000370C7"/>
    <w:rsid w:val="00037B49"/>
    <w:rsid w:val="00037E4F"/>
    <w:rsid w:val="00037F29"/>
    <w:rsid w:val="00040064"/>
    <w:rsid w:val="00042307"/>
    <w:rsid w:val="000424D5"/>
    <w:rsid w:val="00042845"/>
    <w:rsid w:val="00042D5E"/>
    <w:rsid w:val="00042F0A"/>
    <w:rsid w:val="00044970"/>
    <w:rsid w:val="000453EF"/>
    <w:rsid w:val="000454D4"/>
    <w:rsid w:val="00047BE3"/>
    <w:rsid w:val="00050AE1"/>
    <w:rsid w:val="00050B86"/>
    <w:rsid w:val="000511AB"/>
    <w:rsid w:val="000522EA"/>
    <w:rsid w:val="0005231C"/>
    <w:rsid w:val="00052DFC"/>
    <w:rsid w:val="00053865"/>
    <w:rsid w:val="00053D0D"/>
    <w:rsid w:val="00053EFC"/>
    <w:rsid w:val="00054060"/>
    <w:rsid w:val="00054604"/>
    <w:rsid w:val="00055074"/>
    <w:rsid w:val="000552F8"/>
    <w:rsid w:val="00055936"/>
    <w:rsid w:val="00055EFC"/>
    <w:rsid w:val="000562F6"/>
    <w:rsid w:val="00056C4C"/>
    <w:rsid w:val="00057217"/>
    <w:rsid w:val="000574F8"/>
    <w:rsid w:val="00061036"/>
    <w:rsid w:val="000610F2"/>
    <w:rsid w:val="000624D8"/>
    <w:rsid w:val="00062C82"/>
    <w:rsid w:val="00063984"/>
    <w:rsid w:val="00064DBF"/>
    <w:rsid w:val="00065320"/>
    <w:rsid w:val="0006571B"/>
    <w:rsid w:val="00065A99"/>
    <w:rsid w:val="00066CF1"/>
    <w:rsid w:val="00067181"/>
    <w:rsid w:val="00067ED6"/>
    <w:rsid w:val="000713C4"/>
    <w:rsid w:val="00071AEF"/>
    <w:rsid w:val="00071FD9"/>
    <w:rsid w:val="00072A75"/>
    <w:rsid w:val="00072B2A"/>
    <w:rsid w:val="00072F94"/>
    <w:rsid w:val="000736F3"/>
    <w:rsid w:val="00073BEB"/>
    <w:rsid w:val="00074078"/>
    <w:rsid w:val="00074153"/>
    <w:rsid w:val="000744D1"/>
    <w:rsid w:val="00074CEC"/>
    <w:rsid w:val="0007517B"/>
    <w:rsid w:val="00075903"/>
    <w:rsid w:val="000762B7"/>
    <w:rsid w:val="000763AD"/>
    <w:rsid w:val="000764CA"/>
    <w:rsid w:val="000772B6"/>
    <w:rsid w:val="000773F2"/>
    <w:rsid w:val="00077DC4"/>
    <w:rsid w:val="0008031E"/>
    <w:rsid w:val="000807F4"/>
    <w:rsid w:val="000808CD"/>
    <w:rsid w:val="000812A7"/>
    <w:rsid w:val="000823C0"/>
    <w:rsid w:val="0008246D"/>
    <w:rsid w:val="00082F27"/>
    <w:rsid w:val="00083AA1"/>
    <w:rsid w:val="00084D5D"/>
    <w:rsid w:val="00084E2E"/>
    <w:rsid w:val="00084EE3"/>
    <w:rsid w:val="0008505C"/>
    <w:rsid w:val="00087650"/>
    <w:rsid w:val="000878F4"/>
    <w:rsid w:val="00087FCC"/>
    <w:rsid w:val="00090003"/>
    <w:rsid w:val="00090D49"/>
    <w:rsid w:val="00091765"/>
    <w:rsid w:val="00091965"/>
    <w:rsid w:val="00091E9D"/>
    <w:rsid w:val="000924B5"/>
    <w:rsid w:val="00092FB5"/>
    <w:rsid w:val="00093296"/>
    <w:rsid w:val="00093E34"/>
    <w:rsid w:val="000940A4"/>
    <w:rsid w:val="00094CBD"/>
    <w:rsid w:val="000951C6"/>
    <w:rsid w:val="0009536D"/>
    <w:rsid w:val="00095419"/>
    <w:rsid w:val="000955C3"/>
    <w:rsid w:val="0009587B"/>
    <w:rsid w:val="00095F35"/>
    <w:rsid w:val="00096F69"/>
    <w:rsid w:val="00097790"/>
    <w:rsid w:val="000A0383"/>
    <w:rsid w:val="000A1A8C"/>
    <w:rsid w:val="000A1E11"/>
    <w:rsid w:val="000A1F3C"/>
    <w:rsid w:val="000A20E6"/>
    <w:rsid w:val="000A2528"/>
    <w:rsid w:val="000A3534"/>
    <w:rsid w:val="000A3648"/>
    <w:rsid w:val="000A425D"/>
    <w:rsid w:val="000A473C"/>
    <w:rsid w:val="000A499C"/>
    <w:rsid w:val="000A512A"/>
    <w:rsid w:val="000A60F1"/>
    <w:rsid w:val="000A6797"/>
    <w:rsid w:val="000A6890"/>
    <w:rsid w:val="000A6F59"/>
    <w:rsid w:val="000A75C1"/>
    <w:rsid w:val="000A7C35"/>
    <w:rsid w:val="000B0276"/>
    <w:rsid w:val="000B0E7A"/>
    <w:rsid w:val="000B134E"/>
    <w:rsid w:val="000B260F"/>
    <w:rsid w:val="000B3616"/>
    <w:rsid w:val="000B3C96"/>
    <w:rsid w:val="000B4163"/>
    <w:rsid w:val="000B483D"/>
    <w:rsid w:val="000B52FC"/>
    <w:rsid w:val="000B5D59"/>
    <w:rsid w:val="000B6F7D"/>
    <w:rsid w:val="000C0316"/>
    <w:rsid w:val="000C06EC"/>
    <w:rsid w:val="000C1724"/>
    <w:rsid w:val="000C21B4"/>
    <w:rsid w:val="000C2439"/>
    <w:rsid w:val="000C24B1"/>
    <w:rsid w:val="000C2652"/>
    <w:rsid w:val="000C29E9"/>
    <w:rsid w:val="000C45C8"/>
    <w:rsid w:val="000C4964"/>
    <w:rsid w:val="000C49F6"/>
    <w:rsid w:val="000C6BEF"/>
    <w:rsid w:val="000C6F91"/>
    <w:rsid w:val="000C7C96"/>
    <w:rsid w:val="000C7DAD"/>
    <w:rsid w:val="000C7E23"/>
    <w:rsid w:val="000D08C1"/>
    <w:rsid w:val="000D0C57"/>
    <w:rsid w:val="000D124B"/>
    <w:rsid w:val="000D13C6"/>
    <w:rsid w:val="000D19D1"/>
    <w:rsid w:val="000D387A"/>
    <w:rsid w:val="000D4474"/>
    <w:rsid w:val="000D598A"/>
    <w:rsid w:val="000D5D11"/>
    <w:rsid w:val="000D64A0"/>
    <w:rsid w:val="000D7045"/>
    <w:rsid w:val="000D70EA"/>
    <w:rsid w:val="000D777E"/>
    <w:rsid w:val="000D7AFE"/>
    <w:rsid w:val="000D7F56"/>
    <w:rsid w:val="000E0C91"/>
    <w:rsid w:val="000E0E9B"/>
    <w:rsid w:val="000E15D5"/>
    <w:rsid w:val="000E15E2"/>
    <w:rsid w:val="000E18EC"/>
    <w:rsid w:val="000E3904"/>
    <w:rsid w:val="000E4F54"/>
    <w:rsid w:val="000E6198"/>
    <w:rsid w:val="000E65A1"/>
    <w:rsid w:val="000E6708"/>
    <w:rsid w:val="000E7DB5"/>
    <w:rsid w:val="000F0711"/>
    <w:rsid w:val="000F0CF5"/>
    <w:rsid w:val="000F47BA"/>
    <w:rsid w:val="000F4888"/>
    <w:rsid w:val="000F54E2"/>
    <w:rsid w:val="000F5791"/>
    <w:rsid w:val="000F67FC"/>
    <w:rsid w:val="000F7939"/>
    <w:rsid w:val="000F7B30"/>
    <w:rsid w:val="000F7C4B"/>
    <w:rsid w:val="00100AC2"/>
    <w:rsid w:val="00101838"/>
    <w:rsid w:val="00101850"/>
    <w:rsid w:val="00101F0C"/>
    <w:rsid w:val="00102EEE"/>
    <w:rsid w:val="00103874"/>
    <w:rsid w:val="001042C0"/>
    <w:rsid w:val="00105035"/>
    <w:rsid w:val="0010514A"/>
    <w:rsid w:val="001102A2"/>
    <w:rsid w:val="00111B5E"/>
    <w:rsid w:val="001138F9"/>
    <w:rsid w:val="00113F66"/>
    <w:rsid w:val="001140D5"/>
    <w:rsid w:val="00114135"/>
    <w:rsid w:val="001143B4"/>
    <w:rsid w:val="00115305"/>
    <w:rsid w:val="0011551D"/>
    <w:rsid w:val="00116357"/>
    <w:rsid w:val="001167D5"/>
    <w:rsid w:val="00117524"/>
    <w:rsid w:val="00117CB1"/>
    <w:rsid w:val="0012100E"/>
    <w:rsid w:val="00121659"/>
    <w:rsid w:val="001219D7"/>
    <w:rsid w:val="00121E19"/>
    <w:rsid w:val="00122D48"/>
    <w:rsid w:val="00122DDD"/>
    <w:rsid w:val="00123177"/>
    <w:rsid w:val="001239BF"/>
    <w:rsid w:val="00124397"/>
    <w:rsid w:val="001245B1"/>
    <w:rsid w:val="0012493D"/>
    <w:rsid w:val="00124DE4"/>
    <w:rsid w:val="00126076"/>
    <w:rsid w:val="00126751"/>
    <w:rsid w:val="00126A22"/>
    <w:rsid w:val="001307EB"/>
    <w:rsid w:val="001309EF"/>
    <w:rsid w:val="00131B05"/>
    <w:rsid w:val="001324D9"/>
    <w:rsid w:val="00132588"/>
    <w:rsid w:val="00132880"/>
    <w:rsid w:val="0013365A"/>
    <w:rsid w:val="00134559"/>
    <w:rsid w:val="00134647"/>
    <w:rsid w:val="00135FD9"/>
    <w:rsid w:val="00136393"/>
    <w:rsid w:val="00136447"/>
    <w:rsid w:val="0013774A"/>
    <w:rsid w:val="00137A3E"/>
    <w:rsid w:val="00140085"/>
    <w:rsid w:val="001400B9"/>
    <w:rsid w:val="00140C27"/>
    <w:rsid w:val="00141D14"/>
    <w:rsid w:val="00142BBA"/>
    <w:rsid w:val="00142ED1"/>
    <w:rsid w:val="0014590F"/>
    <w:rsid w:val="00145F8C"/>
    <w:rsid w:val="00146CDE"/>
    <w:rsid w:val="00146EFA"/>
    <w:rsid w:val="0014724E"/>
    <w:rsid w:val="0015126A"/>
    <w:rsid w:val="00151CE5"/>
    <w:rsid w:val="001520C8"/>
    <w:rsid w:val="001532D4"/>
    <w:rsid w:val="001533A4"/>
    <w:rsid w:val="001539CA"/>
    <w:rsid w:val="0015435C"/>
    <w:rsid w:val="00154671"/>
    <w:rsid w:val="0015682D"/>
    <w:rsid w:val="00156BA2"/>
    <w:rsid w:val="0016003B"/>
    <w:rsid w:val="001603F8"/>
    <w:rsid w:val="00160C8B"/>
    <w:rsid w:val="0016198D"/>
    <w:rsid w:val="001620DA"/>
    <w:rsid w:val="00162B31"/>
    <w:rsid w:val="00162EC4"/>
    <w:rsid w:val="0016323A"/>
    <w:rsid w:val="00163D36"/>
    <w:rsid w:val="00165699"/>
    <w:rsid w:val="00165F97"/>
    <w:rsid w:val="0016653F"/>
    <w:rsid w:val="001667B5"/>
    <w:rsid w:val="0016701F"/>
    <w:rsid w:val="00167E3F"/>
    <w:rsid w:val="00171381"/>
    <w:rsid w:val="00172007"/>
    <w:rsid w:val="0017241E"/>
    <w:rsid w:val="00172749"/>
    <w:rsid w:val="00173586"/>
    <w:rsid w:val="00173E49"/>
    <w:rsid w:val="0017487B"/>
    <w:rsid w:val="00174BAB"/>
    <w:rsid w:val="00174CAE"/>
    <w:rsid w:val="00174D2C"/>
    <w:rsid w:val="00174EAD"/>
    <w:rsid w:val="001753F1"/>
    <w:rsid w:val="00175989"/>
    <w:rsid w:val="00176C12"/>
    <w:rsid w:val="00176EC4"/>
    <w:rsid w:val="00176F85"/>
    <w:rsid w:val="00177FF4"/>
    <w:rsid w:val="00181F09"/>
    <w:rsid w:val="00181F75"/>
    <w:rsid w:val="00182041"/>
    <w:rsid w:val="00182956"/>
    <w:rsid w:val="001830DD"/>
    <w:rsid w:val="00183784"/>
    <w:rsid w:val="001838DB"/>
    <w:rsid w:val="001850FB"/>
    <w:rsid w:val="00185341"/>
    <w:rsid w:val="001856AE"/>
    <w:rsid w:val="0018595B"/>
    <w:rsid w:val="00185F24"/>
    <w:rsid w:val="00186E58"/>
    <w:rsid w:val="00187894"/>
    <w:rsid w:val="00187C24"/>
    <w:rsid w:val="00187C2E"/>
    <w:rsid w:val="00187EB0"/>
    <w:rsid w:val="001901AA"/>
    <w:rsid w:val="00190D1C"/>
    <w:rsid w:val="00191988"/>
    <w:rsid w:val="00192B4C"/>
    <w:rsid w:val="0019335E"/>
    <w:rsid w:val="00193E13"/>
    <w:rsid w:val="00195C14"/>
    <w:rsid w:val="00196B18"/>
    <w:rsid w:val="00197CDC"/>
    <w:rsid w:val="001A0EA0"/>
    <w:rsid w:val="001A174D"/>
    <w:rsid w:val="001A2426"/>
    <w:rsid w:val="001A2AAA"/>
    <w:rsid w:val="001A33F5"/>
    <w:rsid w:val="001A365A"/>
    <w:rsid w:val="001A3A0C"/>
    <w:rsid w:val="001A49E2"/>
    <w:rsid w:val="001A59DB"/>
    <w:rsid w:val="001A613D"/>
    <w:rsid w:val="001A6493"/>
    <w:rsid w:val="001A6FA1"/>
    <w:rsid w:val="001A70C6"/>
    <w:rsid w:val="001A7584"/>
    <w:rsid w:val="001A767C"/>
    <w:rsid w:val="001B0843"/>
    <w:rsid w:val="001B0CE4"/>
    <w:rsid w:val="001B1320"/>
    <w:rsid w:val="001B1773"/>
    <w:rsid w:val="001B1B35"/>
    <w:rsid w:val="001B2388"/>
    <w:rsid w:val="001B269E"/>
    <w:rsid w:val="001B2709"/>
    <w:rsid w:val="001B3317"/>
    <w:rsid w:val="001B3DDA"/>
    <w:rsid w:val="001B5F54"/>
    <w:rsid w:val="001B6ED0"/>
    <w:rsid w:val="001B76B4"/>
    <w:rsid w:val="001C03BA"/>
    <w:rsid w:val="001C198B"/>
    <w:rsid w:val="001C19B6"/>
    <w:rsid w:val="001C1D02"/>
    <w:rsid w:val="001C36D6"/>
    <w:rsid w:val="001C37C8"/>
    <w:rsid w:val="001C4BBA"/>
    <w:rsid w:val="001C4EB8"/>
    <w:rsid w:val="001C55DC"/>
    <w:rsid w:val="001C5BF2"/>
    <w:rsid w:val="001C5C2F"/>
    <w:rsid w:val="001C641E"/>
    <w:rsid w:val="001C78F9"/>
    <w:rsid w:val="001D0255"/>
    <w:rsid w:val="001D0875"/>
    <w:rsid w:val="001D0E53"/>
    <w:rsid w:val="001D125E"/>
    <w:rsid w:val="001D1889"/>
    <w:rsid w:val="001D1BF9"/>
    <w:rsid w:val="001D2A09"/>
    <w:rsid w:val="001D336C"/>
    <w:rsid w:val="001D3C6A"/>
    <w:rsid w:val="001D54DA"/>
    <w:rsid w:val="001D5DA3"/>
    <w:rsid w:val="001D5DD0"/>
    <w:rsid w:val="001D73F9"/>
    <w:rsid w:val="001D7A05"/>
    <w:rsid w:val="001D7C8E"/>
    <w:rsid w:val="001E07C5"/>
    <w:rsid w:val="001E1035"/>
    <w:rsid w:val="001E3897"/>
    <w:rsid w:val="001E3928"/>
    <w:rsid w:val="001E46B4"/>
    <w:rsid w:val="001E4F39"/>
    <w:rsid w:val="001E52E0"/>
    <w:rsid w:val="001E6D56"/>
    <w:rsid w:val="001E71BF"/>
    <w:rsid w:val="001E7310"/>
    <w:rsid w:val="001F0048"/>
    <w:rsid w:val="001F1A31"/>
    <w:rsid w:val="001F26F2"/>
    <w:rsid w:val="001F2A4A"/>
    <w:rsid w:val="001F2B39"/>
    <w:rsid w:val="001F2DC2"/>
    <w:rsid w:val="001F2DD8"/>
    <w:rsid w:val="001F2E30"/>
    <w:rsid w:val="001F3E44"/>
    <w:rsid w:val="001F4551"/>
    <w:rsid w:val="001F4A66"/>
    <w:rsid w:val="001F5B1D"/>
    <w:rsid w:val="001F6D7A"/>
    <w:rsid w:val="001F766C"/>
    <w:rsid w:val="001F7929"/>
    <w:rsid w:val="001F7BFA"/>
    <w:rsid w:val="00200649"/>
    <w:rsid w:val="00201B83"/>
    <w:rsid w:val="00204972"/>
    <w:rsid w:val="002051FF"/>
    <w:rsid w:val="0020525D"/>
    <w:rsid w:val="00205F90"/>
    <w:rsid w:val="00206AC3"/>
    <w:rsid w:val="00207447"/>
    <w:rsid w:val="002077C7"/>
    <w:rsid w:val="00207E66"/>
    <w:rsid w:val="002130D2"/>
    <w:rsid w:val="00213CB1"/>
    <w:rsid w:val="002141BF"/>
    <w:rsid w:val="002141C6"/>
    <w:rsid w:val="00214493"/>
    <w:rsid w:val="00214A25"/>
    <w:rsid w:val="002152E9"/>
    <w:rsid w:val="00215EB1"/>
    <w:rsid w:val="00215FDF"/>
    <w:rsid w:val="0021689D"/>
    <w:rsid w:val="00216AF3"/>
    <w:rsid w:val="00216B41"/>
    <w:rsid w:val="00216C28"/>
    <w:rsid w:val="002174E6"/>
    <w:rsid w:val="002177C2"/>
    <w:rsid w:val="00217C6F"/>
    <w:rsid w:val="00217DC9"/>
    <w:rsid w:val="00217E47"/>
    <w:rsid w:val="00220224"/>
    <w:rsid w:val="0022046F"/>
    <w:rsid w:val="00220765"/>
    <w:rsid w:val="00220CD3"/>
    <w:rsid w:val="00220E91"/>
    <w:rsid w:val="00221B7A"/>
    <w:rsid w:val="00222024"/>
    <w:rsid w:val="002221C6"/>
    <w:rsid w:val="00222510"/>
    <w:rsid w:val="00222733"/>
    <w:rsid w:val="00225E87"/>
    <w:rsid w:val="00225F70"/>
    <w:rsid w:val="002260D8"/>
    <w:rsid w:val="002263E3"/>
    <w:rsid w:val="002264DB"/>
    <w:rsid w:val="00227515"/>
    <w:rsid w:val="002276D8"/>
    <w:rsid w:val="00227756"/>
    <w:rsid w:val="00227DD3"/>
    <w:rsid w:val="002308C4"/>
    <w:rsid w:val="00231581"/>
    <w:rsid w:val="002323FC"/>
    <w:rsid w:val="00232B65"/>
    <w:rsid w:val="00233548"/>
    <w:rsid w:val="0023393C"/>
    <w:rsid w:val="00233DB7"/>
    <w:rsid w:val="00233DDF"/>
    <w:rsid w:val="00234297"/>
    <w:rsid w:val="00235ADF"/>
    <w:rsid w:val="00236549"/>
    <w:rsid w:val="00236B2D"/>
    <w:rsid w:val="00237135"/>
    <w:rsid w:val="002374A2"/>
    <w:rsid w:val="00237CBA"/>
    <w:rsid w:val="00237F37"/>
    <w:rsid w:val="00240287"/>
    <w:rsid w:val="00240660"/>
    <w:rsid w:val="002409DB"/>
    <w:rsid w:val="00241874"/>
    <w:rsid w:val="00241AB2"/>
    <w:rsid w:val="002439E0"/>
    <w:rsid w:val="00243DBE"/>
    <w:rsid w:val="00244648"/>
    <w:rsid w:val="0024482E"/>
    <w:rsid w:val="0024602D"/>
    <w:rsid w:val="002464AA"/>
    <w:rsid w:val="00247902"/>
    <w:rsid w:val="00247BE9"/>
    <w:rsid w:val="0025036E"/>
    <w:rsid w:val="00250399"/>
    <w:rsid w:val="00251498"/>
    <w:rsid w:val="00251805"/>
    <w:rsid w:val="002537F8"/>
    <w:rsid w:val="00253988"/>
    <w:rsid w:val="0025442F"/>
    <w:rsid w:val="002545C1"/>
    <w:rsid w:val="0025476D"/>
    <w:rsid w:val="00254934"/>
    <w:rsid w:val="002552D8"/>
    <w:rsid w:val="002559DE"/>
    <w:rsid w:val="00255C1F"/>
    <w:rsid w:val="0025600B"/>
    <w:rsid w:val="002561A6"/>
    <w:rsid w:val="0025795E"/>
    <w:rsid w:val="00260CE0"/>
    <w:rsid w:val="002615DD"/>
    <w:rsid w:val="0026367B"/>
    <w:rsid w:val="002642C1"/>
    <w:rsid w:val="00265212"/>
    <w:rsid w:val="0026599F"/>
    <w:rsid w:val="002666B2"/>
    <w:rsid w:val="0026724D"/>
    <w:rsid w:val="00267691"/>
    <w:rsid w:val="00267AE4"/>
    <w:rsid w:val="0027156A"/>
    <w:rsid w:val="00273B95"/>
    <w:rsid w:val="00273E3D"/>
    <w:rsid w:val="00275BB5"/>
    <w:rsid w:val="00275E09"/>
    <w:rsid w:val="00275E49"/>
    <w:rsid w:val="00276137"/>
    <w:rsid w:val="0028055A"/>
    <w:rsid w:val="00280F97"/>
    <w:rsid w:val="00280FF8"/>
    <w:rsid w:val="00281450"/>
    <w:rsid w:val="002815AA"/>
    <w:rsid w:val="002816C0"/>
    <w:rsid w:val="00281CAC"/>
    <w:rsid w:val="00281EC5"/>
    <w:rsid w:val="00281F42"/>
    <w:rsid w:val="00282262"/>
    <w:rsid w:val="002825A0"/>
    <w:rsid w:val="002826AC"/>
    <w:rsid w:val="00282B89"/>
    <w:rsid w:val="00284284"/>
    <w:rsid w:val="00285037"/>
    <w:rsid w:val="0028596F"/>
    <w:rsid w:val="00287143"/>
    <w:rsid w:val="00290118"/>
    <w:rsid w:val="00290735"/>
    <w:rsid w:val="002918BF"/>
    <w:rsid w:val="002924BE"/>
    <w:rsid w:val="00292932"/>
    <w:rsid w:val="002932B8"/>
    <w:rsid w:val="0029406E"/>
    <w:rsid w:val="00294F80"/>
    <w:rsid w:val="002960AE"/>
    <w:rsid w:val="002A0247"/>
    <w:rsid w:val="002A03EB"/>
    <w:rsid w:val="002A07A2"/>
    <w:rsid w:val="002A0CCC"/>
    <w:rsid w:val="002A1153"/>
    <w:rsid w:val="002A1459"/>
    <w:rsid w:val="002A189A"/>
    <w:rsid w:val="002A331B"/>
    <w:rsid w:val="002A6138"/>
    <w:rsid w:val="002A68E0"/>
    <w:rsid w:val="002A6C26"/>
    <w:rsid w:val="002A6C50"/>
    <w:rsid w:val="002A6EA7"/>
    <w:rsid w:val="002A74BC"/>
    <w:rsid w:val="002A7D3C"/>
    <w:rsid w:val="002B09DB"/>
    <w:rsid w:val="002B0AD3"/>
    <w:rsid w:val="002B1BBD"/>
    <w:rsid w:val="002B1F3B"/>
    <w:rsid w:val="002B2417"/>
    <w:rsid w:val="002B2BEB"/>
    <w:rsid w:val="002B2F0F"/>
    <w:rsid w:val="002B363E"/>
    <w:rsid w:val="002B5771"/>
    <w:rsid w:val="002B577C"/>
    <w:rsid w:val="002B743F"/>
    <w:rsid w:val="002B7DCE"/>
    <w:rsid w:val="002C0002"/>
    <w:rsid w:val="002C0835"/>
    <w:rsid w:val="002C0F12"/>
    <w:rsid w:val="002C0F2E"/>
    <w:rsid w:val="002C133C"/>
    <w:rsid w:val="002C13A7"/>
    <w:rsid w:val="002C221D"/>
    <w:rsid w:val="002C244F"/>
    <w:rsid w:val="002C2AFC"/>
    <w:rsid w:val="002C2E30"/>
    <w:rsid w:val="002C394B"/>
    <w:rsid w:val="002C438E"/>
    <w:rsid w:val="002C45B4"/>
    <w:rsid w:val="002C4800"/>
    <w:rsid w:val="002C4DBA"/>
    <w:rsid w:val="002C5160"/>
    <w:rsid w:val="002C5A00"/>
    <w:rsid w:val="002C6023"/>
    <w:rsid w:val="002C7272"/>
    <w:rsid w:val="002C738B"/>
    <w:rsid w:val="002C73A3"/>
    <w:rsid w:val="002D00A5"/>
    <w:rsid w:val="002D0340"/>
    <w:rsid w:val="002D0814"/>
    <w:rsid w:val="002D0A98"/>
    <w:rsid w:val="002D0E63"/>
    <w:rsid w:val="002D20EC"/>
    <w:rsid w:val="002D2431"/>
    <w:rsid w:val="002D2606"/>
    <w:rsid w:val="002D2620"/>
    <w:rsid w:val="002D3950"/>
    <w:rsid w:val="002D3B64"/>
    <w:rsid w:val="002D3E12"/>
    <w:rsid w:val="002D40D5"/>
    <w:rsid w:val="002D473A"/>
    <w:rsid w:val="002D4D0A"/>
    <w:rsid w:val="002D4EA9"/>
    <w:rsid w:val="002D528C"/>
    <w:rsid w:val="002D52CA"/>
    <w:rsid w:val="002D564A"/>
    <w:rsid w:val="002D6786"/>
    <w:rsid w:val="002D6E79"/>
    <w:rsid w:val="002D7BF8"/>
    <w:rsid w:val="002D7D4A"/>
    <w:rsid w:val="002D7D5C"/>
    <w:rsid w:val="002E043F"/>
    <w:rsid w:val="002E057F"/>
    <w:rsid w:val="002E1DA8"/>
    <w:rsid w:val="002E2F7B"/>
    <w:rsid w:val="002E30EA"/>
    <w:rsid w:val="002E3594"/>
    <w:rsid w:val="002E35DE"/>
    <w:rsid w:val="002E3BF1"/>
    <w:rsid w:val="002E3DC2"/>
    <w:rsid w:val="002E3F53"/>
    <w:rsid w:val="002E50AD"/>
    <w:rsid w:val="002E5B7A"/>
    <w:rsid w:val="002E5DAA"/>
    <w:rsid w:val="002E6617"/>
    <w:rsid w:val="002E6DA1"/>
    <w:rsid w:val="002E714A"/>
    <w:rsid w:val="002E7297"/>
    <w:rsid w:val="002E787A"/>
    <w:rsid w:val="002F010E"/>
    <w:rsid w:val="002F0799"/>
    <w:rsid w:val="002F0835"/>
    <w:rsid w:val="002F087A"/>
    <w:rsid w:val="002F0922"/>
    <w:rsid w:val="002F1033"/>
    <w:rsid w:val="002F11D8"/>
    <w:rsid w:val="002F1AC8"/>
    <w:rsid w:val="002F239A"/>
    <w:rsid w:val="002F31C5"/>
    <w:rsid w:val="002F31DE"/>
    <w:rsid w:val="002F3618"/>
    <w:rsid w:val="002F37D8"/>
    <w:rsid w:val="002F3B1C"/>
    <w:rsid w:val="002F4047"/>
    <w:rsid w:val="002F460D"/>
    <w:rsid w:val="002F558C"/>
    <w:rsid w:val="002F57FF"/>
    <w:rsid w:val="002F5D00"/>
    <w:rsid w:val="002F635A"/>
    <w:rsid w:val="002F6B1D"/>
    <w:rsid w:val="002F7591"/>
    <w:rsid w:val="002F77C0"/>
    <w:rsid w:val="002F7BD9"/>
    <w:rsid w:val="00300F77"/>
    <w:rsid w:val="003013E1"/>
    <w:rsid w:val="003019FF"/>
    <w:rsid w:val="00302439"/>
    <w:rsid w:val="00302F36"/>
    <w:rsid w:val="00304E86"/>
    <w:rsid w:val="00305390"/>
    <w:rsid w:val="00305985"/>
    <w:rsid w:val="00305ED2"/>
    <w:rsid w:val="00306B82"/>
    <w:rsid w:val="00307509"/>
    <w:rsid w:val="00307CBB"/>
    <w:rsid w:val="00307CC9"/>
    <w:rsid w:val="003107A0"/>
    <w:rsid w:val="0031198F"/>
    <w:rsid w:val="003119B6"/>
    <w:rsid w:val="003119FC"/>
    <w:rsid w:val="00311F5B"/>
    <w:rsid w:val="00313919"/>
    <w:rsid w:val="00314479"/>
    <w:rsid w:val="00314C57"/>
    <w:rsid w:val="00314F24"/>
    <w:rsid w:val="0031504D"/>
    <w:rsid w:val="00317B2F"/>
    <w:rsid w:val="00320209"/>
    <w:rsid w:val="003204DB"/>
    <w:rsid w:val="003208D7"/>
    <w:rsid w:val="00320D88"/>
    <w:rsid w:val="00321476"/>
    <w:rsid w:val="00321F96"/>
    <w:rsid w:val="00321FCB"/>
    <w:rsid w:val="003232EE"/>
    <w:rsid w:val="00323FF3"/>
    <w:rsid w:val="003248B0"/>
    <w:rsid w:val="00325851"/>
    <w:rsid w:val="00325866"/>
    <w:rsid w:val="00325FD5"/>
    <w:rsid w:val="0032753C"/>
    <w:rsid w:val="00330D87"/>
    <w:rsid w:val="00330FAD"/>
    <w:rsid w:val="00333225"/>
    <w:rsid w:val="003333A3"/>
    <w:rsid w:val="003352AB"/>
    <w:rsid w:val="00335A45"/>
    <w:rsid w:val="0033619B"/>
    <w:rsid w:val="00336FC6"/>
    <w:rsid w:val="00337095"/>
    <w:rsid w:val="003370B8"/>
    <w:rsid w:val="00337354"/>
    <w:rsid w:val="0033749C"/>
    <w:rsid w:val="00337ABF"/>
    <w:rsid w:val="00340B08"/>
    <w:rsid w:val="00341815"/>
    <w:rsid w:val="00341D2B"/>
    <w:rsid w:val="003427F2"/>
    <w:rsid w:val="003432AA"/>
    <w:rsid w:val="003441B4"/>
    <w:rsid w:val="00344A2C"/>
    <w:rsid w:val="0034624C"/>
    <w:rsid w:val="00346B76"/>
    <w:rsid w:val="00346CB6"/>
    <w:rsid w:val="00347394"/>
    <w:rsid w:val="003475F9"/>
    <w:rsid w:val="0034765C"/>
    <w:rsid w:val="00347A80"/>
    <w:rsid w:val="00350523"/>
    <w:rsid w:val="00350718"/>
    <w:rsid w:val="0035082A"/>
    <w:rsid w:val="00351835"/>
    <w:rsid w:val="003518B0"/>
    <w:rsid w:val="00351E90"/>
    <w:rsid w:val="003520DC"/>
    <w:rsid w:val="003521D3"/>
    <w:rsid w:val="00352917"/>
    <w:rsid w:val="00356AA7"/>
    <w:rsid w:val="00356BEA"/>
    <w:rsid w:val="00357542"/>
    <w:rsid w:val="00357E44"/>
    <w:rsid w:val="00360ABD"/>
    <w:rsid w:val="00362252"/>
    <w:rsid w:val="003630AB"/>
    <w:rsid w:val="00363C72"/>
    <w:rsid w:val="003640AD"/>
    <w:rsid w:val="0036472E"/>
    <w:rsid w:val="00364DFD"/>
    <w:rsid w:val="00365C99"/>
    <w:rsid w:val="0036612C"/>
    <w:rsid w:val="003662DF"/>
    <w:rsid w:val="00366359"/>
    <w:rsid w:val="003667CF"/>
    <w:rsid w:val="00366953"/>
    <w:rsid w:val="0036737D"/>
    <w:rsid w:val="003674EC"/>
    <w:rsid w:val="00367BB1"/>
    <w:rsid w:val="00370EA7"/>
    <w:rsid w:val="00371CB0"/>
    <w:rsid w:val="00372DCB"/>
    <w:rsid w:val="00373059"/>
    <w:rsid w:val="003733E4"/>
    <w:rsid w:val="00373C3F"/>
    <w:rsid w:val="00373D3C"/>
    <w:rsid w:val="0037401D"/>
    <w:rsid w:val="00375D7C"/>
    <w:rsid w:val="00375DEF"/>
    <w:rsid w:val="00377E78"/>
    <w:rsid w:val="003800BF"/>
    <w:rsid w:val="003805A3"/>
    <w:rsid w:val="00380D72"/>
    <w:rsid w:val="0038232C"/>
    <w:rsid w:val="003826A9"/>
    <w:rsid w:val="00382E82"/>
    <w:rsid w:val="0038318F"/>
    <w:rsid w:val="0038337F"/>
    <w:rsid w:val="0038365A"/>
    <w:rsid w:val="003839BF"/>
    <w:rsid w:val="00383B0A"/>
    <w:rsid w:val="003843D7"/>
    <w:rsid w:val="00384A8A"/>
    <w:rsid w:val="003851C2"/>
    <w:rsid w:val="00385DAE"/>
    <w:rsid w:val="0038707F"/>
    <w:rsid w:val="00390FC3"/>
    <w:rsid w:val="00390FD0"/>
    <w:rsid w:val="0039188A"/>
    <w:rsid w:val="003918F2"/>
    <w:rsid w:val="003922FC"/>
    <w:rsid w:val="00392D8F"/>
    <w:rsid w:val="00392EA3"/>
    <w:rsid w:val="00394AD9"/>
    <w:rsid w:val="00395448"/>
    <w:rsid w:val="0039657C"/>
    <w:rsid w:val="00397B28"/>
    <w:rsid w:val="003A1933"/>
    <w:rsid w:val="003A194B"/>
    <w:rsid w:val="003A224E"/>
    <w:rsid w:val="003A2337"/>
    <w:rsid w:val="003A246E"/>
    <w:rsid w:val="003A2AE5"/>
    <w:rsid w:val="003A3633"/>
    <w:rsid w:val="003A4C45"/>
    <w:rsid w:val="003A4E86"/>
    <w:rsid w:val="003A686A"/>
    <w:rsid w:val="003A6E5E"/>
    <w:rsid w:val="003A6F94"/>
    <w:rsid w:val="003A7F18"/>
    <w:rsid w:val="003B0E39"/>
    <w:rsid w:val="003B1070"/>
    <w:rsid w:val="003B1156"/>
    <w:rsid w:val="003B11FB"/>
    <w:rsid w:val="003B41AB"/>
    <w:rsid w:val="003B5AFA"/>
    <w:rsid w:val="003B5E8B"/>
    <w:rsid w:val="003B6A0E"/>
    <w:rsid w:val="003B6CD7"/>
    <w:rsid w:val="003B6F0E"/>
    <w:rsid w:val="003B762A"/>
    <w:rsid w:val="003C0D38"/>
    <w:rsid w:val="003C123E"/>
    <w:rsid w:val="003C19F4"/>
    <w:rsid w:val="003C1C0F"/>
    <w:rsid w:val="003C21B6"/>
    <w:rsid w:val="003C4A72"/>
    <w:rsid w:val="003C4A95"/>
    <w:rsid w:val="003C4CCA"/>
    <w:rsid w:val="003C4DD8"/>
    <w:rsid w:val="003C5624"/>
    <w:rsid w:val="003C5826"/>
    <w:rsid w:val="003C585C"/>
    <w:rsid w:val="003C5938"/>
    <w:rsid w:val="003C5A85"/>
    <w:rsid w:val="003C5FC7"/>
    <w:rsid w:val="003C60D7"/>
    <w:rsid w:val="003C6B66"/>
    <w:rsid w:val="003C77F9"/>
    <w:rsid w:val="003D000D"/>
    <w:rsid w:val="003D161D"/>
    <w:rsid w:val="003D24D7"/>
    <w:rsid w:val="003D2C10"/>
    <w:rsid w:val="003D55D2"/>
    <w:rsid w:val="003D58ED"/>
    <w:rsid w:val="003D5E3E"/>
    <w:rsid w:val="003D613F"/>
    <w:rsid w:val="003E047D"/>
    <w:rsid w:val="003E0719"/>
    <w:rsid w:val="003E1D8C"/>
    <w:rsid w:val="003E26BC"/>
    <w:rsid w:val="003E2B93"/>
    <w:rsid w:val="003E36BA"/>
    <w:rsid w:val="003E4187"/>
    <w:rsid w:val="003E5046"/>
    <w:rsid w:val="003E59D6"/>
    <w:rsid w:val="003E5D26"/>
    <w:rsid w:val="003E5E7F"/>
    <w:rsid w:val="003E6442"/>
    <w:rsid w:val="003E79FE"/>
    <w:rsid w:val="003E7EE9"/>
    <w:rsid w:val="003F0B73"/>
    <w:rsid w:val="003F0CD2"/>
    <w:rsid w:val="003F155D"/>
    <w:rsid w:val="003F2450"/>
    <w:rsid w:val="003F3461"/>
    <w:rsid w:val="003F3B4A"/>
    <w:rsid w:val="003F40A5"/>
    <w:rsid w:val="003F41E9"/>
    <w:rsid w:val="003F4236"/>
    <w:rsid w:val="003F47AF"/>
    <w:rsid w:val="003F5672"/>
    <w:rsid w:val="003F5E6C"/>
    <w:rsid w:val="003F71A5"/>
    <w:rsid w:val="003F780E"/>
    <w:rsid w:val="003F7B7A"/>
    <w:rsid w:val="004005D8"/>
    <w:rsid w:val="0040162F"/>
    <w:rsid w:val="00401F9D"/>
    <w:rsid w:val="00404353"/>
    <w:rsid w:val="00404810"/>
    <w:rsid w:val="00405318"/>
    <w:rsid w:val="00405B7C"/>
    <w:rsid w:val="00406C71"/>
    <w:rsid w:val="0040737C"/>
    <w:rsid w:val="004073DB"/>
    <w:rsid w:val="00407DB4"/>
    <w:rsid w:val="00407E52"/>
    <w:rsid w:val="00411D19"/>
    <w:rsid w:val="00411D96"/>
    <w:rsid w:val="00412350"/>
    <w:rsid w:val="004124F4"/>
    <w:rsid w:val="00412AE3"/>
    <w:rsid w:val="00412E62"/>
    <w:rsid w:val="00412FCA"/>
    <w:rsid w:val="004134B0"/>
    <w:rsid w:val="004135F0"/>
    <w:rsid w:val="004136EC"/>
    <w:rsid w:val="004137F5"/>
    <w:rsid w:val="0041483F"/>
    <w:rsid w:val="00414F4C"/>
    <w:rsid w:val="00417451"/>
    <w:rsid w:val="0042063E"/>
    <w:rsid w:val="00420DF1"/>
    <w:rsid w:val="00421D04"/>
    <w:rsid w:val="00422258"/>
    <w:rsid w:val="004225D3"/>
    <w:rsid w:val="00422B84"/>
    <w:rsid w:val="00423413"/>
    <w:rsid w:val="004247AB"/>
    <w:rsid w:val="00424C2E"/>
    <w:rsid w:val="004257E1"/>
    <w:rsid w:val="00425849"/>
    <w:rsid w:val="00425AAA"/>
    <w:rsid w:val="00426444"/>
    <w:rsid w:val="00427472"/>
    <w:rsid w:val="004300CA"/>
    <w:rsid w:val="004304BE"/>
    <w:rsid w:val="00430B3E"/>
    <w:rsid w:val="0043199D"/>
    <w:rsid w:val="00431C84"/>
    <w:rsid w:val="00431E00"/>
    <w:rsid w:val="00432D37"/>
    <w:rsid w:val="00433639"/>
    <w:rsid w:val="00434471"/>
    <w:rsid w:val="00434EDC"/>
    <w:rsid w:val="00436EC1"/>
    <w:rsid w:val="00437724"/>
    <w:rsid w:val="00437C82"/>
    <w:rsid w:val="00440AB7"/>
    <w:rsid w:val="00440BE2"/>
    <w:rsid w:val="00440D23"/>
    <w:rsid w:val="004411E5"/>
    <w:rsid w:val="0044195B"/>
    <w:rsid w:val="00442BEB"/>
    <w:rsid w:val="004434FD"/>
    <w:rsid w:val="00443D28"/>
    <w:rsid w:val="00443D33"/>
    <w:rsid w:val="0044498F"/>
    <w:rsid w:val="00444AD0"/>
    <w:rsid w:val="00444C2C"/>
    <w:rsid w:val="004451C5"/>
    <w:rsid w:val="004459BC"/>
    <w:rsid w:val="0044631D"/>
    <w:rsid w:val="00446343"/>
    <w:rsid w:val="00446A98"/>
    <w:rsid w:val="004472A5"/>
    <w:rsid w:val="004478C4"/>
    <w:rsid w:val="00450BB6"/>
    <w:rsid w:val="00450CA2"/>
    <w:rsid w:val="00452374"/>
    <w:rsid w:val="004531A2"/>
    <w:rsid w:val="00453511"/>
    <w:rsid w:val="004538F4"/>
    <w:rsid w:val="00454852"/>
    <w:rsid w:val="004550D1"/>
    <w:rsid w:val="00455467"/>
    <w:rsid w:val="00455DBE"/>
    <w:rsid w:val="0045630C"/>
    <w:rsid w:val="004567E8"/>
    <w:rsid w:val="00456A03"/>
    <w:rsid w:val="0046003D"/>
    <w:rsid w:val="00460300"/>
    <w:rsid w:val="004605DA"/>
    <w:rsid w:val="00461F0D"/>
    <w:rsid w:val="004644DD"/>
    <w:rsid w:val="00464FFA"/>
    <w:rsid w:val="00465C9D"/>
    <w:rsid w:val="004675D9"/>
    <w:rsid w:val="00467EA2"/>
    <w:rsid w:val="004705A6"/>
    <w:rsid w:val="00470801"/>
    <w:rsid w:val="0047090B"/>
    <w:rsid w:val="00471621"/>
    <w:rsid w:val="00472379"/>
    <w:rsid w:val="00472575"/>
    <w:rsid w:val="00472BB6"/>
    <w:rsid w:val="00472EEA"/>
    <w:rsid w:val="00473C50"/>
    <w:rsid w:val="00473EA4"/>
    <w:rsid w:val="00474185"/>
    <w:rsid w:val="0047432A"/>
    <w:rsid w:val="004744DD"/>
    <w:rsid w:val="0047490B"/>
    <w:rsid w:val="00474A89"/>
    <w:rsid w:val="00475FF4"/>
    <w:rsid w:val="00476189"/>
    <w:rsid w:val="004802BE"/>
    <w:rsid w:val="004814A5"/>
    <w:rsid w:val="0048223F"/>
    <w:rsid w:val="00483533"/>
    <w:rsid w:val="00483DB1"/>
    <w:rsid w:val="0048457F"/>
    <w:rsid w:val="00484FFE"/>
    <w:rsid w:val="00485BFF"/>
    <w:rsid w:val="00485EEE"/>
    <w:rsid w:val="0048668C"/>
    <w:rsid w:val="00486982"/>
    <w:rsid w:val="00486C0C"/>
    <w:rsid w:val="0048708A"/>
    <w:rsid w:val="00491E05"/>
    <w:rsid w:val="00492A62"/>
    <w:rsid w:val="00493186"/>
    <w:rsid w:val="0049328B"/>
    <w:rsid w:val="004938C0"/>
    <w:rsid w:val="00494255"/>
    <w:rsid w:val="0049567B"/>
    <w:rsid w:val="0049630F"/>
    <w:rsid w:val="0049664B"/>
    <w:rsid w:val="00496669"/>
    <w:rsid w:val="00496758"/>
    <w:rsid w:val="004967D7"/>
    <w:rsid w:val="00497ACE"/>
    <w:rsid w:val="004A000D"/>
    <w:rsid w:val="004A0F4A"/>
    <w:rsid w:val="004A1E5C"/>
    <w:rsid w:val="004A35FC"/>
    <w:rsid w:val="004A3B24"/>
    <w:rsid w:val="004A5312"/>
    <w:rsid w:val="004A54F6"/>
    <w:rsid w:val="004A5729"/>
    <w:rsid w:val="004A5E91"/>
    <w:rsid w:val="004A6264"/>
    <w:rsid w:val="004A64C9"/>
    <w:rsid w:val="004A6777"/>
    <w:rsid w:val="004A6E0B"/>
    <w:rsid w:val="004A7222"/>
    <w:rsid w:val="004A768C"/>
    <w:rsid w:val="004B0B8B"/>
    <w:rsid w:val="004B147D"/>
    <w:rsid w:val="004B1BD8"/>
    <w:rsid w:val="004B1C03"/>
    <w:rsid w:val="004B249F"/>
    <w:rsid w:val="004B2898"/>
    <w:rsid w:val="004B3F65"/>
    <w:rsid w:val="004B4438"/>
    <w:rsid w:val="004B4B66"/>
    <w:rsid w:val="004B4C9C"/>
    <w:rsid w:val="004B4CD1"/>
    <w:rsid w:val="004B5441"/>
    <w:rsid w:val="004B64BA"/>
    <w:rsid w:val="004B699B"/>
    <w:rsid w:val="004B7197"/>
    <w:rsid w:val="004B7690"/>
    <w:rsid w:val="004B7BA9"/>
    <w:rsid w:val="004C05F7"/>
    <w:rsid w:val="004C070D"/>
    <w:rsid w:val="004C0E61"/>
    <w:rsid w:val="004C1A64"/>
    <w:rsid w:val="004C2009"/>
    <w:rsid w:val="004C2339"/>
    <w:rsid w:val="004C30A1"/>
    <w:rsid w:val="004C3651"/>
    <w:rsid w:val="004C3831"/>
    <w:rsid w:val="004C39D2"/>
    <w:rsid w:val="004C44E6"/>
    <w:rsid w:val="004C48DE"/>
    <w:rsid w:val="004C4EAD"/>
    <w:rsid w:val="004C56B6"/>
    <w:rsid w:val="004D1AD2"/>
    <w:rsid w:val="004D1C12"/>
    <w:rsid w:val="004D1CF8"/>
    <w:rsid w:val="004D215E"/>
    <w:rsid w:val="004D2818"/>
    <w:rsid w:val="004D2DB1"/>
    <w:rsid w:val="004D2F6F"/>
    <w:rsid w:val="004D363F"/>
    <w:rsid w:val="004D42B7"/>
    <w:rsid w:val="004D4C42"/>
    <w:rsid w:val="004D4E0C"/>
    <w:rsid w:val="004D55FC"/>
    <w:rsid w:val="004D69E9"/>
    <w:rsid w:val="004D6FAC"/>
    <w:rsid w:val="004D78C6"/>
    <w:rsid w:val="004D7EED"/>
    <w:rsid w:val="004D7F98"/>
    <w:rsid w:val="004E0383"/>
    <w:rsid w:val="004E1E1F"/>
    <w:rsid w:val="004E1F9F"/>
    <w:rsid w:val="004E2BEC"/>
    <w:rsid w:val="004E2F4C"/>
    <w:rsid w:val="004E3042"/>
    <w:rsid w:val="004E36B2"/>
    <w:rsid w:val="004E3FA9"/>
    <w:rsid w:val="004E4536"/>
    <w:rsid w:val="004E5236"/>
    <w:rsid w:val="004E5481"/>
    <w:rsid w:val="004E5749"/>
    <w:rsid w:val="004E5AAB"/>
    <w:rsid w:val="004E6A30"/>
    <w:rsid w:val="004E6DF5"/>
    <w:rsid w:val="004E70DF"/>
    <w:rsid w:val="004E7220"/>
    <w:rsid w:val="004E7B8C"/>
    <w:rsid w:val="004E7D21"/>
    <w:rsid w:val="004E7E6E"/>
    <w:rsid w:val="004F0315"/>
    <w:rsid w:val="004F14EC"/>
    <w:rsid w:val="004F327D"/>
    <w:rsid w:val="004F3A86"/>
    <w:rsid w:val="004F4B38"/>
    <w:rsid w:val="004F60D5"/>
    <w:rsid w:val="004F61DD"/>
    <w:rsid w:val="00501772"/>
    <w:rsid w:val="00501B43"/>
    <w:rsid w:val="0050221E"/>
    <w:rsid w:val="00502A38"/>
    <w:rsid w:val="00502FD5"/>
    <w:rsid w:val="0050324B"/>
    <w:rsid w:val="0050438F"/>
    <w:rsid w:val="00504A82"/>
    <w:rsid w:val="0050674E"/>
    <w:rsid w:val="005078EF"/>
    <w:rsid w:val="00507A3B"/>
    <w:rsid w:val="0051004E"/>
    <w:rsid w:val="0051011D"/>
    <w:rsid w:val="005104B3"/>
    <w:rsid w:val="005107FE"/>
    <w:rsid w:val="00510D1C"/>
    <w:rsid w:val="0051133B"/>
    <w:rsid w:val="005113A8"/>
    <w:rsid w:val="005118B5"/>
    <w:rsid w:val="00511B6F"/>
    <w:rsid w:val="00511E83"/>
    <w:rsid w:val="0051269B"/>
    <w:rsid w:val="0051287A"/>
    <w:rsid w:val="0051517F"/>
    <w:rsid w:val="00516EBE"/>
    <w:rsid w:val="00517142"/>
    <w:rsid w:val="00517D0F"/>
    <w:rsid w:val="00520096"/>
    <w:rsid w:val="00520161"/>
    <w:rsid w:val="00520D61"/>
    <w:rsid w:val="0052250D"/>
    <w:rsid w:val="00523002"/>
    <w:rsid w:val="00523922"/>
    <w:rsid w:val="00523C3B"/>
    <w:rsid w:val="00523E51"/>
    <w:rsid w:val="00523EC6"/>
    <w:rsid w:val="00524090"/>
    <w:rsid w:val="00524827"/>
    <w:rsid w:val="00526271"/>
    <w:rsid w:val="00527667"/>
    <w:rsid w:val="00527885"/>
    <w:rsid w:val="00527F39"/>
    <w:rsid w:val="00530FA0"/>
    <w:rsid w:val="005325DA"/>
    <w:rsid w:val="00533008"/>
    <w:rsid w:val="0053302D"/>
    <w:rsid w:val="00534035"/>
    <w:rsid w:val="005340E4"/>
    <w:rsid w:val="005343C4"/>
    <w:rsid w:val="0053465E"/>
    <w:rsid w:val="00535493"/>
    <w:rsid w:val="0053654A"/>
    <w:rsid w:val="00536936"/>
    <w:rsid w:val="00537B08"/>
    <w:rsid w:val="00537B6B"/>
    <w:rsid w:val="00540338"/>
    <w:rsid w:val="00540C00"/>
    <w:rsid w:val="00540D5A"/>
    <w:rsid w:val="00540F87"/>
    <w:rsid w:val="00541458"/>
    <w:rsid w:val="005427B0"/>
    <w:rsid w:val="00542B5C"/>
    <w:rsid w:val="00542C8B"/>
    <w:rsid w:val="0054388A"/>
    <w:rsid w:val="0054404B"/>
    <w:rsid w:val="0054430D"/>
    <w:rsid w:val="0054506A"/>
    <w:rsid w:val="00545A58"/>
    <w:rsid w:val="00545D97"/>
    <w:rsid w:val="00545EE9"/>
    <w:rsid w:val="005466F3"/>
    <w:rsid w:val="005478DA"/>
    <w:rsid w:val="005506C3"/>
    <w:rsid w:val="00550CD7"/>
    <w:rsid w:val="005526BB"/>
    <w:rsid w:val="00553A86"/>
    <w:rsid w:val="005545C1"/>
    <w:rsid w:val="00554905"/>
    <w:rsid w:val="00554B5E"/>
    <w:rsid w:val="00554BAE"/>
    <w:rsid w:val="00554C72"/>
    <w:rsid w:val="0055659B"/>
    <w:rsid w:val="00556834"/>
    <w:rsid w:val="005568D3"/>
    <w:rsid w:val="00556E98"/>
    <w:rsid w:val="00557171"/>
    <w:rsid w:val="005576E8"/>
    <w:rsid w:val="00560436"/>
    <w:rsid w:val="00560C97"/>
    <w:rsid w:val="0056104B"/>
    <w:rsid w:val="0056140A"/>
    <w:rsid w:val="00561579"/>
    <w:rsid w:val="00561B18"/>
    <w:rsid w:val="00561F78"/>
    <w:rsid w:val="0056217A"/>
    <w:rsid w:val="00562CAA"/>
    <w:rsid w:val="00562F3D"/>
    <w:rsid w:val="005646EA"/>
    <w:rsid w:val="00564882"/>
    <w:rsid w:val="0056556D"/>
    <w:rsid w:val="00565C7B"/>
    <w:rsid w:val="0056626D"/>
    <w:rsid w:val="0056655D"/>
    <w:rsid w:val="00566E46"/>
    <w:rsid w:val="00570B97"/>
    <w:rsid w:val="00570CDC"/>
    <w:rsid w:val="00571325"/>
    <w:rsid w:val="005717DE"/>
    <w:rsid w:val="00571AE3"/>
    <w:rsid w:val="005731AB"/>
    <w:rsid w:val="005739C7"/>
    <w:rsid w:val="00573B13"/>
    <w:rsid w:val="00575C4D"/>
    <w:rsid w:val="00576307"/>
    <w:rsid w:val="005779D2"/>
    <w:rsid w:val="0058018B"/>
    <w:rsid w:val="005814A7"/>
    <w:rsid w:val="00581ADD"/>
    <w:rsid w:val="00582146"/>
    <w:rsid w:val="00582C0F"/>
    <w:rsid w:val="00583484"/>
    <w:rsid w:val="005836D8"/>
    <w:rsid w:val="00583B99"/>
    <w:rsid w:val="005845C3"/>
    <w:rsid w:val="0058474C"/>
    <w:rsid w:val="00584E83"/>
    <w:rsid w:val="0058513B"/>
    <w:rsid w:val="0058533F"/>
    <w:rsid w:val="005911D2"/>
    <w:rsid w:val="00591D18"/>
    <w:rsid w:val="005933E3"/>
    <w:rsid w:val="005938BB"/>
    <w:rsid w:val="00593AE0"/>
    <w:rsid w:val="00593C14"/>
    <w:rsid w:val="00593E6F"/>
    <w:rsid w:val="0059429F"/>
    <w:rsid w:val="0059559D"/>
    <w:rsid w:val="0059562C"/>
    <w:rsid w:val="005959A3"/>
    <w:rsid w:val="005959C5"/>
    <w:rsid w:val="00596943"/>
    <w:rsid w:val="005973A7"/>
    <w:rsid w:val="00597B32"/>
    <w:rsid w:val="00597CA8"/>
    <w:rsid w:val="005A00F4"/>
    <w:rsid w:val="005A0258"/>
    <w:rsid w:val="005A0CCA"/>
    <w:rsid w:val="005A19AB"/>
    <w:rsid w:val="005A1A87"/>
    <w:rsid w:val="005A1CA7"/>
    <w:rsid w:val="005A28B3"/>
    <w:rsid w:val="005A4553"/>
    <w:rsid w:val="005A5214"/>
    <w:rsid w:val="005A58B8"/>
    <w:rsid w:val="005A6108"/>
    <w:rsid w:val="005A616F"/>
    <w:rsid w:val="005A6180"/>
    <w:rsid w:val="005A62FB"/>
    <w:rsid w:val="005A657C"/>
    <w:rsid w:val="005A6700"/>
    <w:rsid w:val="005A6CE6"/>
    <w:rsid w:val="005A73E7"/>
    <w:rsid w:val="005A769C"/>
    <w:rsid w:val="005A7AE7"/>
    <w:rsid w:val="005A7B1B"/>
    <w:rsid w:val="005A7C93"/>
    <w:rsid w:val="005B1498"/>
    <w:rsid w:val="005B15F7"/>
    <w:rsid w:val="005B1693"/>
    <w:rsid w:val="005B251F"/>
    <w:rsid w:val="005B282D"/>
    <w:rsid w:val="005B2A4C"/>
    <w:rsid w:val="005B2BB4"/>
    <w:rsid w:val="005B31C7"/>
    <w:rsid w:val="005B37DD"/>
    <w:rsid w:val="005B447A"/>
    <w:rsid w:val="005B48B6"/>
    <w:rsid w:val="005B494C"/>
    <w:rsid w:val="005B4D3B"/>
    <w:rsid w:val="005B56F7"/>
    <w:rsid w:val="005B5B95"/>
    <w:rsid w:val="005B72A6"/>
    <w:rsid w:val="005C053D"/>
    <w:rsid w:val="005C0861"/>
    <w:rsid w:val="005C0E4C"/>
    <w:rsid w:val="005C1893"/>
    <w:rsid w:val="005C18C3"/>
    <w:rsid w:val="005C1B99"/>
    <w:rsid w:val="005C1C69"/>
    <w:rsid w:val="005C1F85"/>
    <w:rsid w:val="005C3224"/>
    <w:rsid w:val="005C3D71"/>
    <w:rsid w:val="005C3F1C"/>
    <w:rsid w:val="005C3F62"/>
    <w:rsid w:val="005C4227"/>
    <w:rsid w:val="005C4673"/>
    <w:rsid w:val="005C5895"/>
    <w:rsid w:val="005C5D41"/>
    <w:rsid w:val="005C6AA6"/>
    <w:rsid w:val="005C6B9A"/>
    <w:rsid w:val="005C6F9D"/>
    <w:rsid w:val="005C7D96"/>
    <w:rsid w:val="005C7F72"/>
    <w:rsid w:val="005D01E8"/>
    <w:rsid w:val="005D0C70"/>
    <w:rsid w:val="005D1A83"/>
    <w:rsid w:val="005D1DE4"/>
    <w:rsid w:val="005D2192"/>
    <w:rsid w:val="005D41C2"/>
    <w:rsid w:val="005D4FA0"/>
    <w:rsid w:val="005D5A38"/>
    <w:rsid w:val="005D5AB7"/>
    <w:rsid w:val="005D5BDF"/>
    <w:rsid w:val="005D5DC7"/>
    <w:rsid w:val="005D67CA"/>
    <w:rsid w:val="005D743B"/>
    <w:rsid w:val="005E0F72"/>
    <w:rsid w:val="005E1B83"/>
    <w:rsid w:val="005E1FB4"/>
    <w:rsid w:val="005E2B69"/>
    <w:rsid w:val="005E424E"/>
    <w:rsid w:val="005E48E9"/>
    <w:rsid w:val="005E59A6"/>
    <w:rsid w:val="005E5DCB"/>
    <w:rsid w:val="005E6078"/>
    <w:rsid w:val="005E679E"/>
    <w:rsid w:val="005E7125"/>
    <w:rsid w:val="005E7830"/>
    <w:rsid w:val="005E7D21"/>
    <w:rsid w:val="005F06B8"/>
    <w:rsid w:val="005F0970"/>
    <w:rsid w:val="005F0E13"/>
    <w:rsid w:val="005F1070"/>
    <w:rsid w:val="005F18E7"/>
    <w:rsid w:val="005F202A"/>
    <w:rsid w:val="005F27CC"/>
    <w:rsid w:val="005F2D69"/>
    <w:rsid w:val="005F2F9D"/>
    <w:rsid w:val="005F37F9"/>
    <w:rsid w:val="005F38C9"/>
    <w:rsid w:val="005F6327"/>
    <w:rsid w:val="005F63E4"/>
    <w:rsid w:val="005F6613"/>
    <w:rsid w:val="005F6A0D"/>
    <w:rsid w:val="005F6C65"/>
    <w:rsid w:val="005F7B30"/>
    <w:rsid w:val="00600B0D"/>
    <w:rsid w:val="00601361"/>
    <w:rsid w:val="00601B87"/>
    <w:rsid w:val="006030C2"/>
    <w:rsid w:val="00604764"/>
    <w:rsid w:val="00604B6E"/>
    <w:rsid w:val="00605C1A"/>
    <w:rsid w:val="00607C6A"/>
    <w:rsid w:val="00607F91"/>
    <w:rsid w:val="00607F99"/>
    <w:rsid w:val="00610A71"/>
    <w:rsid w:val="0061136A"/>
    <w:rsid w:val="00611B08"/>
    <w:rsid w:val="00612D06"/>
    <w:rsid w:val="00613064"/>
    <w:rsid w:val="006135E6"/>
    <w:rsid w:val="00614273"/>
    <w:rsid w:val="0061584C"/>
    <w:rsid w:val="0061624F"/>
    <w:rsid w:val="00616E37"/>
    <w:rsid w:val="00617C65"/>
    <w:rsid w:val="006200AB"/>
    <w:rsid w:val="006203D5"/>
    <w:rsid w:val="0062085D"/>
    <w:rsid w:val="00622759"/>
    <w:rsid w:val="006229DF"/>
    <w:rsid w:val="00622C33"/>
    <w:rsid w:val="00622CD6"/>
    <w:rsid w:val="00623199"/>
    <w:rsid w:val="00623730"/>
    <w:rsid w:val="0062376E"/>
    <w:rsid w:val="00623A04"/>
    <w:rsid w:val="00623B25"/>
    <w:rsid w:val="006244AF"/>
    <w:rsid w:val="006249BD"/>
    <w:rsid w:val="006252B7"/>
    <w:rsid w:val="006252C8"/>
    <w:rsid w:val="00625A07"/>
    <w:rsid w:val="00625C6A"/>
    <w:rsid w:val="006265C1"/>
    <w:rsid w:val="006266E2"/>
    <w:rsid w:val="00626BC3"/>
    <w:rsid w:val="00626C0D"/>
    <w:rsid w:val="00626C27"/>
    <w:rsid w:val="00626DB7"/>
    <w:rsid w:val="00626FF4"/>
    <w:rsid w:val="00627F04"/>
    <w:rsid w:val="0063141A"/>
    <w:rsid w:val="00631C7A"/>
    <w:rsid w:val="00631EB7"/>
    <w:rsid w:val="00632041"/>
    <w:rsid w:val="006328BC"/>
    <w:rsid w:val="0063302C"/>
    <w:rsid w:val="00633131"/>
    <w:rsid w:val="00633BB9"/>
    <w:rsid w:val="00633E13"/>
    <w:rsid w:val="006341DC"/>
    <w:rsid w:val="006344EC"/>
    <w:rsid w:val="00634AD4"/>
    <w:rsid w:val="00634E41"/>
    <w:rsid w:val="00635A2E"/>
    <w:rsid w:val="00635F3A"/>
    <w:rsid w:val="00636676"/>
    <w:rsid w:val="00636BAB"/>
    <w:rsid w:val="00637429"/>
    <w:rsid w:val="00637774"/>
    <w:rsid w:val="00641710"/>
    <w:rsid w:val="00643EF8"/>
    <w:rsid w:val="00643FAC"/>
    <w:rsid w:val="00644ACC"/>
    <w:rsid w:val="00645D05"/>
    <w:rsid w:val="006465E1"/>
    <w:rsid w:val="00646DD0"/>
    <w:rsid w:val="006478EB"/>
    <w:rsid w:val="00647D23"/>
    <w:rsid w:val="00651801"/>
    <w:rsid w:val="00651F39"/>
    <w:rsid w:val="00652E03"/>
    <w:rsid w:val="006530B0"/>
    <w:rsid w:val="00654B98"/>
    <w:rsid w:val="00654F25"/>
    <w:rsid w:val="006557EF"/>
    <w:rsid w:val="00655DFE"/>
    <w:rsid w:val="00655E65"/>
    <w:rsid w:val="00656178"/>
    <w:rsid w:val="00656C10"/>
    <w:rsid w:val="00656C54"/>
    <w:rsid w:val="00660481"/>
    <w:rsid w:val="006618E6"/>
    <w:rsid w:val="00661DC2"/>
    <w:rsid w:val="00662194"/>
    <w:rsid w:val="006623BC"/>
    <w:rsid w:val="00662667"/>
    <w:rsid w:val="00663108"/>
    <w:rsid w:val="00663D71"/>
    <w:rsid w:val="00664AB9"/>
    <w:rsid w:val="00665BBE"/>
    <w:rsid w:val="006660B5"/>
    <w:rsid w:val="0066777F"/>
    <w:rsid w:val="00670247"/>
    <w:rsid w:val="006706FD"/>
    <w:rsid w:val="00670E7C"/>
    <w:rsid w:val="00671CD7"/>
    <w:rsid w:val="00671D91"/>
    <w:rsid w:val="0067202C"/>
    <w:rsid w:val="0067286E"/>
    <w:rsid w:val="00672A04"/>
    <w:rsid w:val="00672C6B"/>
    <w:rsid w:val="00673586"/>
    <w:rsid w:val="00673833"/>
    <w:rsid w:val="00674198"/>
    <w:rsid w:val="00674C1A"/>
    <w:rsid w:val="0067552C"/>
    <w:rsid w:val="006760BD"/>
    <w:rsid w:val="00676AA5"/>
    <w:rsid w:val="00676E93"/>
    <w:rsid w:val="00676FAA"/>
    <w:rsid w:val="00677125"/>
    <w:rsid w:val="0067746A"/>
    <w:rsid w:val="0068000E"/>
    <w:rsid w:val="006808A0"/>
    <w:rsid w:val="00680DC6"/>
    <w:rsid w:val="0068110E"/>
    <w:rsid w:val="0068121C"/>
    <w:rsid w:val="006814A0"/>
    <w:rsid w:val="00681D50"/>
    <w:rsid w:val="00682107"/>
    <w:rsid w:val="006821BD"/>
    <w:rsid w:val="006825E7"/>
    <w:rsid w:val="006828A7"/>
    <w:rsid w:val="00682B2B"/>
    <w:rsid w:val="00682B3D"/>
    <w:rsid w:val="00683A59"/>
    <w:rsid w:val="00683D98"/>
    <w:rsid w:val="00684BFC"/>
    <w:rsid w:val="00685174"/>
    <w:rsid w:val="00685810"/>
    <w:rsid w:val="00685CBA"/>
    <w:rsid w:val="00685DF4"/>
    <w:rsid w:val="00685F56"/>
    <w:rsid w:val="006861B2"/>
    <w:rsid w:val="0068701A"/>
    <w:rsid w:val="00690922"/>
    <w:rsid w:val="0069148D"/>
    <w:rsid w:val="006916C4"/>
    <w:rsid w:val="0069285B"/>
    <w:rsid w:val="00692B3F"/>
    <w:rsid w:val="00693254"/>
    <w:rsid w:val="0069326D"/>
    <w:rsid w:val="00693F02"/>
    <w:rsid w:val="00694819"/>
    <w:rsid w:val="0069567F"/>
    <w:rsid w:val="00695770"/>
    <w:rsid w:val="006957B8"/>
    <w:rsid w:val="006959DF"/>
    <w:rsid w:val="00695EA0"/>
    <w:rsid w:val="00695F25"/>
    <w:rsid w:val="006964E9"/>
    <w:rsid w:val="00696E01"/>
    <w:rsid w:val="006A1E56"/>
    <w:rsid w:val="006A225A"/>
    <w:rsid w:val="006A2AD4"/>
    <w:rsid w:val="006A3312"/>
    <w:rsid w:val="006A3A40"/>
    <w:rsid w:val="006A4691"/>
    <w:rsid w:val="006A500D"/>
    <w:rsid w:val="006A56BB"/>
    <w:rsid w:val="006A6212"/>
    <w:rsid w:val="006A70DD"/>
    <w:rsid w:val="006A7D14"/>
    <w:rsid w:val="006B0696"/>
    <w:rsid w:val="006B0A7E"/>
    <w:rsid w:val="006B0B05"/>
    <w:rsid w:val="006B1728"/>
    <w:rsid w:val="006B187C"/>
    <w:rsid w:val="006B3504"/>
    <w:rsid w:val="006B4B63"/>
    <w:rsid w:val="006B512D"/>
    <w:rsid w:val="006B5BDF"/>
    <w:rsid w:val="006B699F"/>
    <w:rsid w:val="006B6A36"/>
    <w:rsid w:val="006B6C5D"/>
    <w:rsid w:val="006C042F"/>
    <w:rsid w:val="006C481C"/>
    <w:rsid w:val="006C52C0"/>
    <w:rsid w:val="006C532A"/>
    <w:rsid w:val="006C5384"/>
    <w:rsid w:val="006C6449"/>
    <w:rsid w:val="006C6612"/>
    <w:rsid w:val="006C681B"/>
    <w:rsid w:val="006C710A"/>
    <w:rsid w:val="006C71FC"/>
    <w:rsid w:val="006D0013"/>
    <w:rsid w:val="006D0D39"/>
    <w:rsid w:val="006D135D"/>
    <w:rsid w:val="006D2884"/>
    <w:rsid w:val="006D3B99"/>
    <w:rsid w:val="006D3DD3"/>
    <w:rsid w:val="006D472F"/>
    <w:rsid w:val="006D48C9"/>
    <w:rsid w:val="006D509D"/>
    <w:rsid w:val="006D5109"/>
    <w:rsid w:val="006D5521"/>
    <w:rsid w:val="006D64BA"/>
    <w:rsid w:val="006D67E1"/>
    <w:rsid w:val="006D7028"/>
    <w:rsid w:val="006D76BB"/>
    <w:rsid w:val="006E058B"/>
    <w:rsid w:val="006E0F3C"/>
    <w:rsid w:val="006E1122"/>
    <w:rsid w:val="006E12F9"/>
    <w:rsid w:val="006E1739"/>
    <w:rsid w:val="006E194F"/>
    <w:rsid w:val="006E1CAB"/>
    <w:rsid w:val="006E4272"/>
    <w:rsid w:val="006E42A4"/>
    <w:rsid w:val="006E4891"/>
    <w:rsid w:val="006E4B24"/>
    <w:rsid w:val="006E5D1C"/>
    <w:rsid w:val="006E6414"/>
    <w:rsid w:val="006E644A"/>
    <w:rsid w:val="006E6C7A"/>
    <w:rsid w:val="006E747B"/>
    <w:rsid w:val="006E7DB0"/>
    <w:rsid w:val="006F070A"/>
    <w:rsid w:val="006F07DD"/>
    <w:rsid w:val="006F07F5"/>
    <w:rsid w:val="006F1C0E"/>
    <w:rsid w:val="006F2A1C"/>
    <w:rsid w:val="006F3593"/>
    <w:rsid w:val="006F4577"/>
    <w:rsid w:val="006F46A1"/>
    <w:rsid w:val="006F58A0"/>
    <w:rsid w:val="006F59F9"/>
    <w:rsid w:val="006F5E9B"/>
    <w:rsid w:val="006F637D"/>
    <w:rsid w:val="006F7EDE"/>
    <w:rsid w:val="00700A48"/>
    <w:rsid w:val="00700D45"/>
    <w:rsid w:val="007030FD"/>
    <w:rsid w:val="007039E9"/>
    <w:rsid w:val="00703C2D"/>
    <w:rsid w:val="007042B6"/>
    <w:rsid w:val="007047E6"/>
    <w:rsid w:val="00704AE5"/>
    <w:rsid w:val="00704F69"/>
    <w:rsid w:val="00706814"/>
    <w:rsid w:val="00706BC0"/>
    <w:rsid w:val="00707E6E"/>
    <w:rsid w:val="007101C3"/>
    <w:rsid w:val="0071078C"/>
    <w:rsid w:val="00710D17"/>
    <w:rsid w:val="00710F69"/>
    <w:rsid w:val="007112BC"/>
    <w:rsid w:val="007118A7"/>
    <w:rsid w:val="00711A52"/>
    <w:rsid w:val="00711AE4"/>
    <w:rsid w:val="0071228F"/>
    <w:rsid w:val="00712BED"/>
    <w:rsid w:val="0071351B"/>
    <w:rsid w:val="007148DA"/>
    <w:rsid w:val="00715FC9"/>
    <w:rsid w:val="00717B0B"/>
    <w:rsid w:val="00717E94"/>
    <w:rsid w:val="007207FC"/>
    <w:rsid w:val="00720C79"/>
    <w:rsid w:val="0072121A"/>
    <w:rsid w:val="007213FC"/>
    <w:rsid w:val="00722C49"/>
    <w:rsid w:val="00723418"/>
    <w:rsid w:val="0072454A"/>
    <w:rsid w:val="00724B30"/>
    <w:rsid w:val="00725599"/>
    <w:rsid w:val="00725EF4"/>
    <w:rsid w:val="00725F45"/>
    <w:rsid w:val="00726299"/>
    <w:rsid w:val="007275A3"/>
    <w:rsid w:val="007312C3"/>
    <w:rsid w:val="007316F5"/>
    <w:rsid w:val="00731FC8"/>
    <w:rsid w:val="00732157"/>
    <w:rsid w:val="0073235D"/>
    <w:rsid w:val="007330BC"/>
    <w:rsid w:val="0073351B"/>
    <w:rsid w:val="007341C9"/>
    <w:rsid w:val="00734649"/>
    <w:rsid w:val="00734724"/>
    <w:rsid w:val="007347FC"/>
    <w:rsid w:val="00734855"/>
    <w:rsid w:val="007358E2"/>
    <w:rsid w:val="00735ABA"/>
    <w:rsid w:val="00735B00"/>
    <w:rsid w:val="00735ED0"/>
    <w:rsid w:val="00736C84"/>
    <w:rsid w:val="00736C92"/>
    <w:rsid w:val="00736D5F"/>
    <w:rsid w:val="007372DA"/>
    <w:rsid w:val="007379F7"/>
    <w:rsid w:val="00737C29"/>
    <w:rsid w:val="00740168"/>
    <w:rsid w:val="00740B22"/>
    <w:rsid w:val="00740E04"/>
    <w:rsid w:val="007411D0"/>
    <w:rsid w:val="007412C5"/>
    <w:rsid w:val="0074131B"/>
    <w:rsid w:val="00741C81"/>
    <w:rsid w:val="0074264D"/>
    <w:rsid w:val="00742908"/>
    <w:rsid w:val="00742BBA"/>
    <w:rsid w:val="0074309D"/>
    <w:rsid w:val="0074327E"/>
    <w:rsid w:val="00743434"/>
    <w:rsid w:val="00743897"/>
    <w:rsid w:val="0074397F"/>
    <w:rsid w:val="00743E8D"/>
    <w:rsid w:val="007441FF"/>
    <w:rsid w:val="00744981"/>
    <w:rsid w:val="00744DEC"/>
    <w:rsid w:val="007451A5"/>
    <w:rsid w:val="007463D5"/>
    <w:rsid w:val="007468CA"/>
    <w:rsid w:val="00750ED0"/>
    <w:rsid w:val="0075239B"/>
    <w:rsid w:val="00752C2D"/>
    <w:rsid w:val="00752CC0"/>
    <w:rsid w:val="00752ED9"/>
    <w:rsid w:val="007541DD"/>
    <w:rsid w:val="0075544C"/>
    <w:rsid w:val="007557C3"/>
    <w:rsid w:val="00756450"/>
    <w:rsid w:val="00757375"/>
    <w:rsid w:val="007600AC"/>
    <w:rsid w:val="007603DC"/>
    <w:rsid w:val="007607DB"/>
    <w:rsid w:val="007610AE"/>
    <w:rsid w:val="007621B9"/>
    <w:rsid w:val="007622AB"/>
    <w:rsid w:val="00762474"/>
    <w:rsid w:val="00762584"/>
    <w:rsid w:val="007627B0"/>
    <w:rsid w:val="00762F9C"/>
    <w:rsid w:val="00763AFD"/>
    <w:rsid w:val="00764B9B"/>
    <w:rsid w:val="00765B99"/>
    <w:rsid w:val="00766523"/>
    <w:rsid w:val="0076689F"/>
    <w:rsid w:val="00766A78"/>
    <w:rsid w:val="00766AD0"/>
    <w:rsid w:val="00767DC3"/>
    <w:rsid w:val="00770588"/>
    <w:rsid w:val="00770C3A"/>
    <w:rsid w:val="00771650"/>
    <w:rsid w:val="007716A7"/>
    <w:rsid w:val="0077249E"/>
    <w:rsid w:val="00775627"/>
    <w:rsid w:val="00776C28"/>
    <w:rsid w:val="00777DF5"/>
    <w:rsid w:val="0078067D"/>
    <w:rsid w:val="00780764"/>
    <w:rsid w:val="007826B7"/>
    <w:rsid w:val="0078306D"/>
    <w:rsid w:val="0078392F"/>
    <w:rsid w:val="0078413B"/>
    <w:rsid w:val="0078511A"/>
    <w:rsid w:val="00785197"/>
    <w:rsid w:val="00785513"/>
    <w:rsid w:val="0078551C"/>
    <w:rsid w:val="00785BC5"/>
    <w:rsid w:val="0078600C"/>
    <w:rsid w:val="00786C06"/>
    <w:rsid w:val="00787BAD"/>
    <w:rsid w:val="00787BDA"/>
    <w:rsid w:val="00790932"/>
    <w:rsid w:val="00791E79"/>
    <w:rsid w:val="007924B2"/>
    <w:rsid w:val="00793EF3"/>
    <w:rsid w:val="00794044"/>
    <w:rsid w:val="00794A4F"/>
    <w:rsid w:val="007952AA"/>
    <w:rsid w:val="007959B7"/>
    <w:rsid w:val="00795E53"/>
    <w:rsid w:val="0079771C"/>
    <w:rsid w:val="00797881"/>
    <w:rsid w:val="00797B22"/>
    <w:rsid w:val="00797C52"/>
    <w:rsid w:val="00797F01"/>
    <w:rsid w:val="007A06DA"/>
    <w:rsid w:val="007A13A6"/>
    <w:rsid w:val="007A1A36"/>
    <w:rsid w:val="007A1BE5"/>
    <w:rsid w:val="007A1D60"/>
    <w:rsid w:val="007A242B"/>
    <w:rsid w:val="007A2A5F"/>
    <w:rsid w:val="007A3033"/>
    <w:rsid w:val="007A30B1"/>
    <w:rsid w:val="007A3272"/>
    <w:rsid w:val="007A37C3"/>
    <w:rsid w:val="007A3E99"/>
    <w:rsid w:val="007A5472"/>
    <w:rsid w:val="007A55A3"/>
    <w:rsid w:val="007A5DEB"/>
    <w:rsid w:val="007A6B6F"/>
    <w:rsid w:val="007A71E1"/>
    <w:rsid w:val="007A7758"/>
    <w:rsid w:val="007A7911"/>
    <w:rsid w:val="007A7B8D"/>
    <w:rsid w:val="007A7D18"/>
    <w:rsid w:val="007A7F09"/>
    <w:rsid w:val="007B069E"/>
    <w:rsid w:val="007B2964"/>
    <w:rsid w:val="007B33B3"/>
    <w:rsid w:val="007B38F9"/>
    <w:rsid w:val="007B3C18"/>
    <w:rsid w:val="007B3D9F"/>
    <w:rsid w:val="007B3FDC"/>
    <w:rsid w:val="007B436F"/>
    <w:rsid w:val="007B4815"/>
    <w:rsid w:val="007B4E37"/>
    <w:rsid w:val="007B5336"/>
    <w:rsid w:val="007B55D2"/>
    <w:rsid w:val="007B60EB"/>
    <w:rsid w:val="007B6D32"/>
    <w:rsid w:val="007B767F"/>
    <w:rsid w:val="007C0399"/>
    <w:rsid w:val="007C041E"/>
    <w:rsid w:val="007C05CE"/>
    <w:rsid w:val="007C0E7C"/>
    <w:rsid w:val="007C148B"/>
    <w:rsid w:val="007C4A4B"/>
    <w:rsid w:val="007C54ED"/>
    <w:rsid w:val="007C5701"/>
    <w:rsid w:val="007C5B1D"/>
    <w:rsid w:val="007C6787"/>
    <w:rsid w:val="007C6A64"/>
    <w:rsid w:val="007C73F6"/>
    <w:rsid w:val="007C7B4C"/>
    <w:rsid w:val="007D036F"/>
    <w:rsid w:val="007D0A83"/>
    <w:rsid w:val="007D130B"/>
    <w:rsid w:val="007D1485"/>
    <w:rsid w:val="007D18D8"/>
    <w:rsid w:val="007D32CB"/>
    <w:rsid w:val="007D3942"/>
    <w:rsid w:val="007D47AE"/>
    <w:rsid w:val="007D4EBB"/>
    <w:rsid w:val="007D5427"/>
    <w:rsid w:val="007D55DB"/>
    <w:rsid w:val="007D5774"/>
    <w:rsid w:val="007D71AD"/>
    <w:rsid w:val="007D7378"/>
    <w:rsid w:val="007D7872"/>
    <w:rsid w:val="007E0229"/>
    <w:rsid w:val="007E140A"/>
    <w:rsid w:val="007E1473"/>
    <w:rsid w:val="007E1589"/>
    <w:rsid w:val="007E258B"/>
    <w:rsid w:val="007E300F"/>
    <w:rsid w:val="007E38D8"/>
    <w:rsid w:val="007E4C7A"/>
    <w:rsid w:val="007E5493"/>
    <w:rsid w:val="007E6AA0"/>
    <w:rsid w:val="007E6C81"/>
    <w:rsid w:val="007E725A"/>
    <w:rsid w:val="007E7773"/>
    <w:rsid w:val="007E786E"/>
    <w:rsid w:val="007E7C82"/>
    <w:rsid w:val="007F0D0E"/>
    <w:rsid w:val="007F0EB5"/>
    <w:rsid w:val="007F1EC3"/>
    <w:rsid w:val="007F22A9"/>
    <w:rsid w:val="007F2544"/>
    <w:rsid w:val="007F2CF4"/>
    <w:rsid w:val="007F3034"/>
    <w:rsid w:val="007F4CFB"/>
    <w:rsid w:val="007F52A3"/>
    <w:rsid w:val="007F7284"/>
    <w:rsid w:val="007F7333"/>
    <w:rsid w:val="007F7755"/>
    <w:rsid w:val="007F7952"/>
    <w:rsid w:val="00801660"/>
    <w:rsid w:val="0080231E"/>
    <w:rsid w:val="00802DC6"/>
    <w:rsid w:val="008031B0"/>
    <w:rsid w:val="008034FE"/>
    <w:rsid w:val="008035D6"/>
    <w:rsid w:val="00803A41"/>
    <w:rsid w:val="00803EC7"/>
    <w:rsid w:val="008041B2"/>
    <w:rsid w:val="00804503"/>
    <w:rsid w:val="00804976"/>
    <w:rsid w:val="00805306"/>
    <w:rsid w:val="0080557A"/>
    <w:rsid w:val="008067D8"/>
    <w:rsid w:val="008074FD"/>
    <w:rsid w:val="00807C96"/>
    <w:rsid w:val="008103CA"/>
    <w:rsid w:val="00810586"/>
    <w:rsid w:val="008105BE"/>
    <w:rsid w:val="0081088F"/>
    <w:rsid w:val="00810C1C"/>
    <w:rsid w:val="008115C7"/>
    <w:rsid w:val="00811976"/>
    <w:rsid w:val="008120D9"/>
    <w:rsid w:val="008127ED"/>
    <w:rsid w:val="00812A39"/>
    <w:rsid w:val="00812F2E"/>
    <w:rsid w:val="008135AD"/>
    <w:rsid w:val="00813973"/>
    <w:rsid w:val="008158CF"/>
    <w:rsid w:val="0081591F"/>
    <w:rsid w:val="00815BFE"/>
    <w:rsid w:val="00822FF5"/>
    <w:rsid w:val="008241AE"/>
    <w:rsid w:val="008241C3"/>
    <w:rsid w:val="00824658"/>
    <w:rsid w:val="008255DA"/>
    <w:rsid w:val="0082744B"/>
    <w:rsid w:val="00830D5C"/>
    <w:rsid w:val="00830EA6"/>
    <w:rsid w:val="008316B4"/>
    <w:rsid w:val="0083199B"/>
    <w:rsid w:val="008323B8"/>
    <w:rsid w:val="00832AB2"/>
    <w:rsid w:val="00835172"/>
    <w:rsid w:val="008367D1"/>
    <w:rsid w:val="00837353"/>
    <w:rsid w:val="008374B5"/>
    <w:rsid w:val="008374C7"/>
    <w:rsid w:val="0083758B"/>
    <w:rsid w:val="00841464"/>
    <w:rsid w:val="008424EE"/>
    <w:rsid w:val="00842559"/>
    <w:rsid w:val="00842FF4"/>
    <w:rsid w:val="00843D01"/>
    <w:rsid w:val="00844FBA"/>
    <w:rsid w:val="008453F5"/>
    <w:rsid w:val="00846078"/>
    <w:rsid w:val="008468A8"/>
    <w:rsid w:val="008468CC"/>
    <w:rsid w:val="00846A08"/>
    <w:rsid w:val="00846F3F"/>
    <w:rsid w:val="00847311"/>
    <w:rsid w:val="0084795E"/>
    <w:rsid w:val="008506FF"/>
    <w:rsid w:val="00850923"/>
    <w:rsid w:val="00850997"/>
    <w:rsid w:val="0085099B"/>
    <w:rsid w:val="0085124A"/>
    <w:rsid w:val="00852817"/>
    <w:rsid w:val="00852C17"/>
    <w:rsid w:val="008535BD"/>
    <w:rsid w:val="008535D2"/>
    <w:rsid w:val="00853677"/>
    <w:rsid w:val="008538D0"/>
    <w:rsid w:val="008541D7"/>
    <w:rsid w:val="008548CA"/>
    <w:rsid w:val="00854B3C"/>
    <w:rsid w:val="00854E91"/>
    <w:rsid w:val="008559C8"/>
    <w:rsid w:val="00856545"/>
    <w:rsid w:val="00860695"/>
    <w:rsid w:val="00860B0A"/>
    <w:rsid w:val="00861114"/>
    <w:rsid w:val="00861E21"/>
    <w:rsid w:val="00861E3D"/>
    <w:rsid w:val="008621F4"/>
    <w:rsid w:val="00862945"/>
    <w:rsid w:val="00865A51"/>
    <w:rsid w:val="008666C4"/>
    <w:rsid w:val="00866716"/>
    <w:rsid w:val="00866D65"/>
    <w:rsid w:val="00867582"/>
    <w:rsid w:val="008679D7"/>
    <w:rsid w:val="00867B0B"/>
    <w:rsid w:val="00870911"/>
    <w:rsid w:val="008712CB"/>
    <w:rsid w:val="00871FF2"/>
    <w:rsid w:val="00873DA3"/>
    <w:rsid w:val="00874242"/>
    <w:rsid w:val="008742DC"/>
    <w:rsid w:val="00874E45"/>
    <w:rsid w:val="00874F3F"/>
    <w:rsid w:val="00875193"/>
    <w:rsid w:val="00875713"/>
    <w:rsid w:val="0087664E"/>
    <w:rsid w:val="00876D27"/>
    <w:rsid w:val="008774CF"/>
    <w:rsid w:val="00877EC5"/>
    <w:rsid w:val="00877F6A"/>
    <w:rsid w:val="0088018C"/>
    <w:rsid w:val="008804D6"/>
    <w:rsid w:val="00880989"/>
    <w:rsid w:val="00880AFD"/>
    <w:rsid w:val="00880E71"/>
    <w:rsid w:val="0088115B"/>
    <w:rsid w:val="0088165F"/>
    <w:rsid w:val="0088171E"/>
    <w:rsid w:val="00881BB2"/>
    <w:rsid w:val="00882EFB"/>
    <w:rsid w:val="008834AD"/>
    <w:rsid w:val="00883F52"/>
    <w:rsid w:val="00885385"/>
    <w:rsid w:val="00885FBF"/>
    <w:rsid w:val="00887AB6"/>
    <w:rsid w:val="00893704"/>
    <w:rsid w:val="008937BE"/>
    <w:rsid w:val="00894852"/>
    <w:rsid w:val="00895AA0"/>
    <w:rsid w:val="00896E04"/>
    <w:rsid w:val="00897093"/>
    <w:rsid w:val="00897CAC"/>
    <w:rsid w:val="008A0BB9"/>
    <w:rsid w:val="008A0DCD"/>
    <w:rsid w:val="008A1442"/>
    <w:rsid w:val="008A14C9"/>
    <w:rsid w:val="008A22A7"/>
    <w:rsid w:val="008A2624"/>
    <w:rsid w:val="008A28BF"/>
    <w:rsid w:val="008A3256"/>
    <w:rsid w:val="008A340A"/>
    <w:rsid w:val="008A3689"/>
    <w:rsid w:val="008A43E9"/>
    <w:rsid w:val="008A5B1C"/>
    <w:rsid w:val="008A647F"/>
    <w:rsid w:val="008A64D7"/>
    <w:rsid w:val="008A67EA"/>
    <w:rsid w:val="008A6AD0"/>
    <w:rsid w:val="008A7AD1"/>
    <w:rsid w:val="008B0686"/>
    <w:rsid w:val="008B0D4B"/>
    <w:rsid w:val="008B0FB9"/>
    <w:rsid w:val="008B108A"/>
    <w:rsid w:val="008B2463"/>
    <w:rsid w:val="008B39F7"/>
    <w:rsid w:val="008B49F4"/>
    <w:rsid w:val="008B5709"/>
    <w:rsid w:val="008B6222"/>
    <w:rsid w:val="008B6F14"/>
    <w:rsid w:val="008B755F"/>
    <w:rsid w:val="008B7BBC"/>
    <w:rsid w:val="008C0A3C"/>
    <w:rsid w:val="008C0F6B"/>
    <w:rsid w:val="008C106E"/>
    <w:rsid w:val="008C12B0"/>
    <w:rsid w:val="008C21AB"/>
    <w:rsid w:val="008C3864"/>
    <w:rsid w:val="008C48CE"/>
    <w:rsid w:val="008C4B45"/>
    <w:rsid w:val="008C536F"/>
    <w:rsid w:val="008C54B6"/>
    <w:rsid w:val="008C7469"/>
    <w:rsid w:val="008C7F0C"/>
    <w:rsid w:val="008D162F"/>
    <w:rsid w:val="008D1831"/>
    <w:rsid w:val="008D1B81"/>
    <w:rsid w:val="008D1E22"/>
    <w:rsid w:val="008D2B38"/>
    <w:rsid w:val="008D2F24"/>
    <w:rsid w:val="008D4041"/>
    <w:rsid w:val="008D4386"/>
    <w:rsid w:val="008D4A1F"/>
    <w:rsid w:val="008D4A33"/>
    <w:rsid w:val="008D4AD1"/>
    <w:rsid w:val="008D4CEF"/>
    <w:rsid w:val="008D5095"/>
    <w:rsid w:val="008D54D1"/>
    <w:rsid w:val="008D7485"/>
    <w:rsid w:val="008E0A89"/>
    <w:rsid w:val="008E18F5"/>
    <w:rsid w:val="008E1F37"/>
    <w:rsid w:val="008E2B05"/>
    <w:rsid w:val="008E45F5"/>
    <w:rsid w:val="008E460D"/>
    <w:rsid w:val="008E4811"/>
    <w:rsid w:val="008E4DA7"/>
    <w:rsid w:val="008E4E00"/>
    <w:rsid w:val="008E4E83"/>
    <w:rsid w:val="008E58AA"/>
    <w:rsid w:val="008E60B9"/>
    <w:rsid w:val="008E6CD6"/>
    <w:rsid w:val="008E6EA7"/>
    <w:rsid w:val="008E744D"/>
    <w:rsid w:val="008E77C9"/>
    <w:rsid w:val="008F0494"/>
    <w:rsid w:val="008F11C7"/>
    <w:rsid w:val="008F19B3"/>
    <w:rsid w:val="008F1BA9"/>
    <w:rsid w:val="008F2E03"/>
    <w:rsid w:val="008F3245"/>
    <w:rsid w:val="008F43F6"/>
    <w:rsid w:val="008F4959"/>
    <w:rsid w:val="008F61E2"/>
    <w:rsid w:val="008F6F13"/>
    <w:rsid w:val="008F78C2"/>
    <w:rsid w:val="00900481"/>
    <w:rsid w:val="0090056F"/>
    <w:rsid w:val="00900DFD"/>
    <w:rsid w:val="009015F8"/>
    <w:rsid w:val="0090186D"/>
    <w:rsid w:val="00901C72"/>
    <w:rsid w:val="00901CF3"/>
    <w:rsid w:val="009021C7"/>
    <w:rsid w:val="009025F4"/>
    <w:rsid w:val="00903091"/>
    <w:rsid w:val="00903163"/>
    <w:rsid w:val="009032EF"/>
    <w:rsid w:val="00903D0C"/>
    <w:rsid w:val="00903FAE"/>
    <w:rsid w:val="00905D81"/>
    <w:rsid w:val="00905D84"/>
    <w:rsid w:val="00905F22"/>
    <w:rsid w:val="0090652A"/>
    <w:rsid w:val="00906E40"/>
    <w:rsid w:val="00906E63"/>
    <w:rsid w:val="00907432"/>
    <w:rsid w:val="00907FF5"/>
    <w:rsid w:val="009105F2"/>
    <w:rsid w:val="00910825"/>
    <w:rsid w:val="00910F0E"/>
    <w:rsid w:val="00911857"/>
    <w:rsid w:val="009127EB"/>
    <w:rsid w:val="00912CDE"/>
    <w:rsid w:val="009134DF"/>
    <w:rsid w:val="009135B5"/>
    <w:rsid w:val="009137C7"/>
    <w:rsid w:val="00913C13"/>
    <w:rsid w:val="0091448F"/>
    <w:rsid w:val="00914BDE"/>
    <w:rsid w:val="00914DA8"/>
    <w:rsid w:val="009152C5"/>
    <w:rsid w:val="00915ECE"/>
    <w:rsid w:val="00916256"/>
    <w:rsid w:val="0091725D"/>
    <w:rsid w:val="00917CFE"/>
    <w:rsid w:val="00920017"/>
    <w:rsid w:val="00920985"/>
    <w:rsid w:val="0092126D"/>
    <w:rsid w:val="009233D5"/>
    <w:rsid w:val="00924064"/>
    <w:rsid w:val="00925113"/>
    <w:rsid w:val="009252BB"/>
    <w:rsid w:val="009259A6"/>
    <w:rsid w:val="00926643"/>
    <w:rsid w:val="00926824"/>
    <w:rsid w:val="009269D6"/>
    <w:rsid w:val="00926B9F"/>
    <w:rsid w:val="0092783B"/>
    <w:rsid w:val="00927A1A"/>
    <w:rsid w:val="009303FE"/>
    <w:rsid w:val="009314E5"/>
    <w:rsid w:val="00931C0F"/>
    <w:rsid w:val="00931CC2"/>
    <w:rsid w:val="00931FD2"/>
    <w:rsid w:val="00932623"/>
    <w:rsid w:val="00932C2F"/>
    <w:rsid w:val="00932F27"/>
    <w:rsid w:val="009340AE"/>
    <w:rsid w:val="009343E2"/>
    <w:rsid w:val="00934440"/>
    <w:rsid w:val="009352EA"/>
    <w:rsid w:val="009358DA"/>
    <w:rsid w:val="00936440"/>
    <w:rsid w:val="00940249"/>
    <w:rsid w:val="0094027B"/>
    <w:rsid w:val="009407CF"/>
    <w:rsid w:val="009415C2"/>
    <w:rsid w:val="009426EB"/>
    <w:rsid w:val="00942B8E"/>
    <w:rsid w:val="00945859"/>
    <w:rsid w:val="00946B55"/>
    <w:rsid w:val="00947101"/>
    <w:rsid w:val="00947EE4"/>
    <w:rsid w:val="00951E94"/>
    <w:rsid w:val="009529F0"/>
    <w:rsid w:val="0095314A"/>
    <w:rsid w:val="00953429"/>
    <w:rsid w:val="00954FBD"/>
    <w:rsid w:val="0095541C"/>
    <w:rsid w:val="0095634A"/>
    <w:rsid w:val="009566CA"/>
    <w:rsid w:val="00956E9B"/>
    <w:rsid w:val="009572E9"/>
    <w:rsid w:val="0095783E"/>
    <w:rsid w:val="0096023E"/>
    <w:rsid w:val="00960948"/>
    <w:rsid w:val="00960F99"/>
    <w:rsid w:val="00961BB3"/>
    <w:rsid w:val="00961E6B"/>
    <w:rsid w:val="00961FD7"/>
    <w:rsid w:val="00962C82"/>
    <w:rsid w:val="009631BD"/>
    <w:rsid w:val="00963363"/>
    <w:rsid w:val="0096368C"/>
    <w:rsid w:val="00963774"/>
    <w:rsid w:val="00964990"/>
    <w:rsid w:val="00964DEF"/>
    <w:rsid w:val="00965457"/>
    <w:rsid w:val="00965D51"/>
    <w:rsid w:val="009660E3"/>
    <w:rsid w:val="009669AC"/>
    <w:rsid w:val="00966AB8"/>
    <w:rsid w:val="009670AC"/>
    <w:rsid w:val="00967BAB"/>
    <w:rsid w:val="00967E7F"/>
    <w:rsid w:val="009702DD"/>
    <w:rsid w:val="00970605"/>
    <w:rsid w:val="00971EC8"/>
    <w:rsid w:val="00972743"/>
    <w:rsid w:val="00973468"/>
    <w:rsid w:val="0097447E"/>
    <w:rsid w:val="009750C7"/>
    <w:rsid w:val="00975A8A"/>
    <w:rsid w:val="009764C7"/>
    <w:rsid w:val="00977541"/>
    <w:rsid w:val="009818F8"/>
    <w:rsid w:val="00981B8A"/>
    <w:rsid w:val="0098240E"/>
    <w:rsid w:val="00982578"/>
    <w:rsid w:val="00982E2B"/>
    <w:rsid w:val="009855C6"/>
    <w:rsid w:val="00985818"/>
    <w:rsid w:val="00985B8E"/>
    <w:rsid w:val="0098607B"/>
    <w:rsid w:val="009867E7"/>
    <w:rsid w:val="009875F2"/>
    <w:rsid w:val="00987E19"/>
    <w:rsid w:val="0099084B"/>
    <w:rsid w:val="00991680"/>
    <w:rsid w:val="009928EE"/>
    <w:rsid w:val="00993EFF"/>
    <w:rsid w:val="00994917"/>
    <w:rsid w:val="00994B12"/>
    <w:rsid w:val="00997084"/>
    <w:rsid w:val="009978ED"/>
    <w:rsid w:val="009A033F"/>
    <w:rsid w:val="009A05AA"/>
    <w:rsid w:val="009A0EF6"/>
    <w:rsid w:val="009A0FC0"/>
    <w:rsid w:val="009A13D9"/>
    <w:rsid w:val="009A263B"/>
    <w:rsid w:val="009A2745"/>
    <w:rsid w:val="009A3F6D"/>
    <w:rsid w:val="009A50C3"/>
    <w:rsid w:val="009A5415"/>
    <w:rsid w:val="009A5555"/>
    <w:rsid w:val="009A56D4"/>
    <w:rsid w:val="009A59FF"/>
    <w:rsid w:val="009A5C9C"/>
    <w:rsid w:val="009A5F3E"/>
    <w:rsid w:val="009A695F"/>
    <w:rsid w:val="009A6B3B"/>
    <w:rsid w:val="009A7004"/>
    <w:rsid w:val="009A7063"/>
    <w:rsid w:val="009A7641"/>
    <w:rsid w:val="009A7A75"/>
    <w:rsid w:val="009A7C66"/>
    <w:rsid w:val="009B04B0"/>
    <w:rsid w:val="009B078B"/>
    <w:rsid w:val="009B0A11"/>
    <w:rsid w:val="009B195E"/>
    <w:rsid w:val="009B1C40"/>
    <w:rsid w:val="009B212F"/>
    <w:rsid w:val="009B2750"/>
    <w:rsid w:val="009B2783"/>
    <w:rsid w:val="009B3828"/>
    <w:rsid w:val="009B3B23"/>
    <w:rsid w:val="009B440A"/>
    <w:rsid w:val="009B4671"/>
    <w:rsid w:val="009B4901"/>
    <w:rsid w:val="009B4B05"/>
    <w:rsid w:val="009B4DA3"/>
    <w:rsid w:val="009B53DD"/>
    <w:rsid w:val="009B62EC"/>
    <w:rsid w:val="009B681F"/>
    <w:rsid w:val="009B6DDF"/>
    <w:rsid w:val="009B74B1"/>
    <w:rsid w:val="009C0BD3"/>
    <w:rsid w:val="009C106A"/>
    <w:rsid w:val="009C2CB4"/>
    <w:rsid w:val="009C3AB7"/>
    <w:rsid w:val="009C47BD"/>
    <w:rsid w:val="009C4992"/>
    <w:rsid w:val="009C522F"/>
    <w:rsid w:val="009C5250"/>
    <w:rsid w:val="009C5B8A"/>
    <w:rsid w:val="009C5C35"/>
    <w:rsid w:val="009C61DA"/>
    <w:rsid w:val="009C6D7F"/>
    <w:rsid w:val="009C7173"/>
    <w:rsid w:val="009D01FE"/>
    <w:rsid w:val="009D038A"/>
    <w:rsid w:val="009D317F"/>
    <w:rsid w:val="009D37AE"/>
    <w:rsid w:val="009D3CFF"/>
    <w:rsid w:val="009D3EFC"/>
    <w:rsid w:val="009D46BA"/>
    <w:rsid w:val="009D4BD4"/>
    <w:rsid w:val="009D4DFE"/>
    <w:rsid w:val="009D589A"/>
    <w:rsid w:val="009D7056"/>
    <w:rsid w:val="009D7302"/>
    <w:rsid w:val="009D770F"/>
    <w:rsid w:val="009D7822"/>
    <w:rsid w:val="009E1494"/>
    <w:rsid w:val="009E1C78"/>
    <w:rsid w:val="009E2034"/>
    <w:rsid w:val="009E2D23"/>
    <w:rsid w:val="009E36D2"/>
    <w:rsid w:val="009E492E"/>
    <w:rsid w:val="009E6BCC"/>
    <w:rsid w:val="009E7DB1"/>
    <w:rsid w:val="009F00B1"/>
    <w:rsid w:val="009F066D"/>
    <w:rsid w:val="009F17AA"/>
    <w:rsid w:val="009F2047"/>
    <w:rsid w:val="009F2167"/>
    <w:rsid w:val="009F2421"/>
    <w:rsid w:val="009F2553"/>
    <w:rsid w:val="009F2562"/>
    <w:rsid w:val="009F2C3D"/>
    <w:rsid w:val="009F3E3E"/>
    <w:rsid w:val="009F4AD9"/>
    <w:rsid w:val="009F4C1A"/>
    <w:rsid w:val="009F6038"/>
    <w:rsid w:val="009F6C72"/>
    <w:rsid w:val="009F72B2"/>
    <w:rsid w:val="009F794A"/>
    <w:rsid w:val="009F7DCF"/>
    <w:rsid w:val="00A006CC"/>
    <w:rsid w:val="00A0148F"/>
    <w:rsid w:val="00A01A82"/>
    <w:rsid w:val="00A01E6F"/>
    <w:rsid w:val="00A01FA7"/>
    <w:rsid w:val="00A02F91"/>
    <w:rsid w:val="00A0356E"/>
    <w:rsid w:val="00A042A4"/>
    <w:rsid w:val="00A05F94"/>
    <w:rsid w:val="00A06867"/>
    <w:rsid w:val="00A07068"/>
    <w:rsid w:val="00A07348"/>
    <w:rsid w:val="00A07594"/>
    <w:rsid w:val="00A077DC"/>
    <w:rsid w:val="00A07F0D"/>
    <w:rsid w:val="00A104B8"/>
    <w:rsid w:val="00A1177A"/>
    <w:rsid w:val="00A11F67"/>
    <w:rsid w:val="00A13003"/>
    <w:rsid w:val="00A1340F"/>
    <w:rsid w:val="00A13967"/>
    <w:rsid w:val="00A14726"/>
    <w:rsid w:val="00A14C7D"/>
    <w:rsid w:val="00A168EA"/>
    <w:rsid w:val="00A174F8"/>
    <w:rsid w:val="00A178EC"/>
    <w:rsid w:val="00A17C11"/>
    <w:rsid w:val="00A20373"/>
    <w:rsid w:val="00A21290"/>
    <w:rsid w:val="00A21BD6"/>
    <w:rsid w:val="00A21DB2"/>
    <w:rsid w:val="00A22490"/>
    <w:rsid w:val="00A22A63"/>
    <w:rsid w:val="00A230F8"/>
    <w:rsid w:val="00A23513"/>
    <w:rsid w:val="00A257FA"/>
    <w:rsid w:val="00A2594D"/>
    <w:rsid w:val="00A266A6"/>
    <w:rsid w:val="00A26B34"/>
    <w:rsid w:val="00A27465"/>
    <w:rsid w:val="00A2768D"/>
    <w:rsid w:val="00A311AF"/>
    <w:rsid w:val="00A323DA"/>
    <w:rsid w:val="00A32C0B"/>
    <w:rsid w:val="00A32D7C"/>
    <w:rsid w:val="00A32F3B"/>
    <w:rsid w:val="00A34B76"/>
    <w:rsid w:val="00A355BE"/>
    <w:rsid w:val="00A35ECC"/>
    <w:rsid w:val="00A37302"/>
    <w:rsid w:val="00A37731"/>
    <w:rsid w:val="00A404A7"/>
    <w:rsid w:val="00A40F1E"/>
    <w:rsid w:val="00A41856"/>
    <w:rsid w:val="00A419DA"/>
    <w:rsid w:val="00A42BDD"/>
    <w:rsid w:val="00A42FCE"/>
    <w:rsid w:val="00A4441F"/>
    <w:rsid w:val="00A456A4"/>
    <w:rsid w:val="00A45AC1"/>
    <w:rsid w:val="00A45D3B"/>
    <w:rsid w:val="00A46100"/>
    <w:rsid w:val="00A467F4"/>
    <w:rsid w:val="00A470EB"/>
    <w:rsid w:val="00A47241"/>
    <w:rsid w:val="00A47985"/>
    <w:rsid w:val="00A50493"/>
    <w:rsid w:val="00A52216"/>
    <w:rsid w:val="00A52286"/>
    <w:rsid w:val="00A53859"/>
    <w:rsid w:val="00A540FB"/>
    <w:rsid w:val="00A553FD"/>
    <w:rsid w:val="00A5602D"/>
    <w:rsid w:val="00A564F7"/>
    <w:rsid w:val="00A6039B"/>
    <w:rsid w:val="00A606F9"/>
    <w:rsid w:val="00A60B5D"/>
    <w:rsid w:val="00A610DF"/>
    <w:rsid w:val="00A6153A"/>
    <w:rsid w:val="00A615AF"/>
    <w:rsid w:val="00A615BC"/>
    <w:rsid w:val="00A61DE7"/>
    <w:rsid w:val="00A62193"/>
    <w:rsid w:val="00A6239A"/>
    <w:rsid w:val="00A62F63"/>
    <w:rsid w:val="00A6370D"/>
    <w:rsid w:val="00A63FC4"/>
    <w:rsid w:val="00A666BF"/>
    <w:rsid w:val="00A674E1"/>
    <w:rsid w:val="00A67536"/>
    <w:rsid w:val="00A71F44"/>
    <w:rsid w:val="00A721AB"/>
    <w:rsid w:val="00A72EBB"/>
    <w:rsid w:val="00A73A00"/>
    <w:rsid w:val="00A73DE8"/>
    <w:rsid w:val="00A740D1"/>
    <w:rsid w:val="00A74398"/>
    <w:rsid w:val="00A74619"/>
    <w:rsid w:val="00A747D0"/>
    <w:rsid w:val="00A7493E"/>
    <w:rsid w:val="00A74E75"/>
    <w:rsid w:val="00A7520B"/>
    <w:rsid w:val="00A76A3E"/>
    <w:rsid w:val="00A7733A"/>
    <w:rsid w:val="00A80276"/>
    <w:rsid w:val="00A80530"/>
    <w:rsid w:val="00A80B17"/>
    <w:rsid w:val="00A82B90"/>
    <w:rsid w:val="00A83314"/>
    <w:rsid w:val="00A84318"/>
    <w:rsid w:val="00A850F9"/>
    <w:rsid w:val="00A865EF"/>
    <w:rsid w:val="00A8666B"/>
    <w:rsid w:val="00A86DC3"/>
    <w:rsid w:val="00A86F67"/>
    <w:rsid w:val="00A90CF8"/>
    <w:rsid w:val="00A90E3D"/>
    <w:rsid w:val="00A915E7"/>
    <w:rsid w:val="00A91A22"/>
    <w:rsid w:val="00A9269A"/>
    <w:rsid w:val="00A9354E"/>
    <w:rsid w:val="00A93CB0"/>
    <w:rsid w:val="00A94C04"/>
    <w:rsid w:val="00A94E2E"/>
    <w:rsid w:val="00A956FC"/>
    <w:rsid w:val="00A95AC7"/>
    <w:rsid w:val="00A97540"/>
    <w:rsid w:val="00A97FD1"/>
    <w:rsid w:val="00AA164C"/>
    <w:rsid w:val="00AA1F0E"/>
    <w:rsid w:val="00AA1F20"/>
    <w:rsid w:val="00AA2111"/>
    <w:rsid w:val="00AA26AA"/>
    <w:rsid w:val="00AA2BA8"/>
    <w:rsid w:val="00AA358D"/>
    <w:rsid w:val="00AA3E80"/>
    <w:rsid w:val="00AA5A68"/>
    <w:rsid w:val="00AA5E30"/>
    <w:rsid w:val="00AA6C93"/>
    <w:rsid w:val="00AA7140"/>
    <w:rsid w:val="00AA72AB"/>
    <w:rsid w:val="00AB015C"/>
    <w:rsid w:val="00AB0A5F"/>
    <w:rsid w:val="00AB1E21"/>
    <w:rsid w:val="00AB3DD3"/>
    <w:rsid w:val="00AB428B"/>
    <w:rsid w:val="00AB4427"/>
    <w:rsid w:val="00AB690C"/>
    <w:rsid w:val="00AB6D07"/>
    <w:rsid w:val="00AB6EAB"/>
    <w:rsid w:val="00AB777C"/>
    <w:rsid w:val="00AC012C"/>
    <w:rsid w:val="00AC08BF"/>
    <w:rsid w:val="00AC507B"/>
    <w:rsid w:val="00AC5262"/>
    <w:rsid w:val="00AC5721"/>
    <w:rsid w:val="00AC63DD"/>
    <w:rsid w:val="00AC6869"/>
    <w:rsid w:val="00AC75EB"/>
    <w:rsid w:val="00AD038A"/>
    <w:rsid w:val="00AD1401"/>
    <w:rsid w:val="00AD15C5"/>
    <w:rsid w:val="00AD15FD"/>
    <w:rsid w:val="00AD1701"/>
    <w:rsid w:val="00AD1899"/>
    <w:rsid w:val="00AD3578"/>
    <w:rsid w:val="00AD4526"/>
    <w:rsid w:val="00AD5176"/>
    <w:rsid w:val="00AD5B1A"/>
    <w:rsid w:val="00AD5C60"/>
    <w:rsid w:val="00AD5EF2"/>
    <w:rsid w:val="00AD6DED"/>
    <w:rsid w:val="00AE05C9"/>
    <w:rsid w:val="00AE0E5A"/>
    <w:rsid w:val="00AE0F16"/>
    <w:rsid w:val="00AE161C"/>
    <w:rsid w:val="00AE1F22"/>
    <w:rsid w:val="00AE27F5"/>
    <w:rsid w:val="00AE2F7B"/>
    <w:rsid w:val="00AE305D"/>
    <w:rsid w:val="00AE3136"/>
    <w:rsid w:val="00AE34B3"/>
    <w:rsid w:val="00AE3816"/>
    <w:rsid w:val="00AE384F"/>
    <w:rsid w:val="00AE3CE1"/>
    <w:rsid w:val="00AE3FD6"/>
    <w:rsid w:val="00AE40F1"/>
    <w:rsid w:val="00AE455C"/>
    <w:rsid w:val="00AE5D1D"/>
    <w:rsid w:val="00AE6DA7"/>
    <w:rsid w:val="00AE7B84"/>
    <w:rsid w:val="00AE7D7C"/>
    <w:rsid w:val="00AF101C"/>
    <w:rsid w:val="00AF20A3"/>
    <w:rsid w:val="00AF3D8A"/>
    <w:rsid w:val="00AF44B9"/>
    <w:rsid w:val="00AF462C"/>
    <w:rsid w:val="00AF479D"/>
    <w:rsid w:val="00AF5A32"/>
    <w:rsid w:val="00AF6CDE"/>
    <w:rsid w:val="00B01F58"/>
    <w:rsid w:val="00B01F71"/>
    <w:rsid w:val="00B020CA"/>
    <w:rsid w:val="00B02A09"/>
    <w:rsid w:val="00B032CB"/>
    <w:rsid w:val="00B03A6C"/>
    <w:rsid w:val="00B043F2"/>
    <w:rsid w:val="00B04C7B"/>
    <w:rsid w:val="00B05263"/>
    <w:rsid w:val="00B0568F"/>
    <w:rsid w:val="00B06523"/>
    <w:rsid w:val="00B1090A"/>
    <w:rsid w:val="00B10AD1"/>
    <w:rsid w:val="00B11554"/>
    <w:rsid w:val="00B11B14"/>
    <w:rsid w:val="00B11CE0"/>
    <w:rsid w:val="00B122C9"/>
    <w:rsid w:val="00B13C2D"/>
    <w:rsid w:val="00B145B5"/>
    <w:rsid w:val="00B15119"/>
    <w:rsid w:val="00B162F2"/>
    <w:rsid w:val="00B16B00"/>
    <w:rsid w:val="00B16F88"/>
    <w:rsid w:val="00B17270"/>
    <w:rsid w:val="00B173A5"/>
    <w:rsid w:val="00B203F2"/>
    <w:rsid w:val="00B220D9"/>
    <w:rsid w:val="00B22656"/>
    <w:rsid w:val="00B22724"/>
    <w:rsid w:val="00B22C52"/>
    <w:rsid w:val="00B22DA3"/>
    <w:rsid w:val="00B22FD9"/>
    <w:rsid w:val="00B2334D"/>
    <w:rsid w:val="00B23466"/>
    <w:rsid w:val="00B234B2"/>
    <w:rsid w:val="00B23CEB"/>
    <w:rsid w:val="00B245F6"/>
    <w:rsid w:val="00B24EBF"/>
    <w:rsid w:val="00B273E9"/>
    <w:rsid w:val="00B27FF1"/>
    <w:rsid w:val="00B303A6"/>
    <w:rsid w:val="00B30F8F"/>
    <w:rsid w:val="00B3174B"/>
    <w:rsid w:val="00B32F07"/>
    <w:rsid w:val="00B33464"/>
    <w:rsid w:val="00B336DC"/>
    <w:rsid w:val="00B339B7"/>
    <w:rsid w:val="00B33FB1"/>
    <w:rsid w:val="00B346E8"/>
    <w:rsid w:val="00B35667"/>
    <w:rsid w:val="00B35884"/>
    <w:rsid w:val="00B3597D"/>
    <w:rsid w:val="00B364D3"/>
    <w:rsid w:val="00B369C4"/>
    <w:rsid w:val="00B370DB"/>
    <w:rsid w:val="00B40EDD"/>
    <w:rsid w:val="00B41782"/>
    <w:rsid w:val="00B418F8"/>
    <w:rsid w:val="00B427BD"/>
    <w:rsid w:val="00B43044"/>
    <w:rsid w:val="00B4318C"/>
    <w:rsid w:val="00B43B45"/>
    <w:rsid w:val="00B43E2B"/>
    <w:rsid w:val="00B44372"/>
    <w:rsid w:val="00B443D9"/>
    <w:rsid w:val="00B44947"/>
    <w:rsid w:val="00B44C6B"/>
    <w:rsid w:val="00B45CC1"/>
    <w:rsid w:val="00B4696F"/>
    <w:rsid w:val="00B46C9D"/>
    <w:rsid w:val="00B470EC"/>
    <w:rsid w:val="00B50794"/>
    <w:rsid w:val="00B5079B"/>
    <w:rsid w:val="00B50A43"/>
    <w:rsid w:val="00B51528"/>
    <w:rsid w:val="00B51BA4"/>
    <w:rsid w:val="00B53011"/>
    <w:rsid w:val="00B532FD"/>
    <w:rsid w:val="00B53B67"/>
    <w:rsid w:val="00B5409C"/>
    <w:rsid w:val="00B55721"/>
    <w:rsid w:val="00B568C3"/>
    <w:rsid w:val="00B56C07"/>
    <w:rsid w:val="00B56F0A"/>
    <w:rsid w:val="00B571AE"/>
    <w:rsid w:val="00B57238"/>
    <w:rsid w:val="00B57F3E"/>
    <w:rsid w:val="00B60145"/>
    <w:rsid w:val="00B6029F"/>
    <w:rsid w:val="00B60730"/>
    <w:rsid w:val="00B613C7"/>
    <w:rsid w:val="00B61BF7"/>
    <w:rsid w:val="00B61F52"/>
    <w:rsid w:val="00B621CE"/>
    <w:rsid w:val="00B62BF4"/>
    <w:rsid w:val="00B62E19"/>
    <w:rsid w:val="00B63B6F"/>
    <w:rsid w:val="00B63CD3"/>
    <w:rsid w:val="00B64680"/>
    <w:rsid w:val="00B64892"/>
    <w:rsid w:val="00B64CF0"/>
    <w:rsid w:val="00B64FCF"/>
    <w:rsid w:val="00B65461"/>
    <w:rsid w:val="00B66729"/>
    <w:rsid w:val="00B66840"/>
    <w:rsid w:val="00B669F2"/>
    <w:rsid w:val="00B67D2C"/>
    <w:rsid w:val="00B70383"/>
    <w:rsid w:val="00B71CCA"/>
    <w:rsid w:val="00B733E6"/>
    <w:rsid w:val="00B73EE7"/>
    <w:rsid w:val="00B74076"/>
    <w:rsid w:val="00B74E58"/>
    <w:rsid w:val="00B7514D"/>
    <w:rsid w:val="00B7528B"/>
    <w:rsid w:val="00B75932"/>
    <w:rsid w:val="00B762B8"/>
    <w:rsid w:val="00B76969"/>
    <w:rsid w:val="00B76990"/>
    <w:rsid w:val="00B80D2A"/>
    <w:rsid w:val="00B80DCF"/>
    <w:rsid w:val="00B82673"/>
    <w:rsid w:val="00B83553"/>
    <w:rsid w:val="00B83DED"/>
    <w:rsid w:val="00B854F3"/>
    <w:rsid w:val="00B85754"/>
    <w:rsid w:val="00B85C82"/>
    <w:rsid w:val="00B862AF"/>
    <w:rsid w:val="00B86B53"/>
    <w:rsid w:val="00B86D26"/>
    <w:rsid w:val="00B86D30"/>
    <w:rsid w:val="00B86E8B"/>
    <w:rsid w:val="00B87800"/>
    <w:rsid w:val="00B87D7D"/>
    <w:rsid w:val="00B87DFE"/>
    <w:rsid w:val="00B90DCC"/>
    <w:rsid w:val="00B90F0F"/>
    <w:rsid w:val="00B91271"/>
    <w:rsid w:val="00B91500"/>
    <w:rsid w:val="00B91776"/>
    <w:rsid w:val="00B92CF3"/>
    <w:rsid w:val="00B92D97"/>
    <w:rsid w:val="00B932EB"/>
    <w:rsid w:val="00B932F3"/>
    <w:rsid w:val="00B93389"/>
    <w:rsid w:val="00B93640"/>
    <w:rsid w:val="00B9412B"/>
    <w:rsid w:val="00B94B0B"/>
    <w:rsid w:val="00B952B8"/>
    <w:rsid w:val="00B9554C"/>
    <w:rsid w:val="00B957B5"/>
    <w:rsid w:val="00B97176"/>
    <w:rsid w:val="00B974EF"/>
    <w:rsid w:val="00B97AA0"/>
    <w:rsid w:val="00BA0C21"/>
    <w:rsid w:val="00BA0EAC"/>
    <w:rsid w:val="00BA17C4"/>
    <w:rsid w:val="00BA1DE0"/>
    <w:rsid w:val="00BA1F88"/>
    <w:rsid w:val="00BA27CD"/>
    <w:rsid w:val="00BA2A37"/>
    <w:rsid w:val="00BA2CCC"/>
    <w:rsid w:val="00BA30B5"/>
    <w:rsid w:val="00BA3A16"/>
    <w:rsid w:val="00BA3C8D"/>
    <w:rsid w:val="00BA429D"/>
    <w:rsid w:val="00BA5114"/>
    <w:rsid w:val="00BA53A1"/>
    <w:rsid w:val="00BA6640"/>
    <w:rsid w:val="00BA6782"/>
    <w:rsid w:val="00BA716D"/>
    <w:rsid w:val="00BA7A60"/>
    <w:rsid w:val="00BA7DA0"/>
    <w:rsid w:val="00BA7E93"/>
    <w:rsid w:val="00BB3246"/>
    <w:rsid w:val="00BB3960"/>
    <w:rsid w:val="00BB3E7B"/>
    <w:rsid w:val="00BB3F9B"/>
    <w:rsid w:val="00BB4AD1"/>
    <w:rsid w:val="00BB5054"/>
    <w:rsid w:val="00BB6678"/>
    <w:rsid w:val="00BB7F7A"/>
    <w:rsid w:val="00BC0264"/>
    <w:rsid w:val="00BC0B1A"/>
    <w:rsid w:val="00BC3F3D"/>
    <w:rsid w:val="00BC51A7"/>
    <w:rsid w:val="00BC59E2"/>
    <w:rsid w:val="00BC5ADD"/>
    <w:rsid w:val="00BC5FAA"/>
    <w:rsid w:val="00BC60D9"/>
    <w:rsid w:val="00BC75CB"/>
    <w:rsid w:val="00BC76A0"/>
    <w:rsid w:val="00BC7801"/>
    <w:rsid w:val="00BC7C1F"/>
    <w:rsid w:val="00BD1341"/>
    <w:rsid w:val="00BD260F"/>
    <w:rsid w:val="00BD289B"/>
    <w:rsid w:val="00BD324F"/>
    <w:rsid w:val="00BD34FA"/>
    <w:rsid w:val="00BD517C"/>
    <w:rsid w:val="00BD57C4"/>
    <w:rsid w:val="00BD5CE6"/>
    <w:rsid w:val="00BD60FA"/>
    <w:rsid w:val="00BD6844"/>
    <w:rsid w:val="00BD798B"/>
    <w:rsid w:val="00BD7F6A"/>
    <w:rsid w:val="00BE03F1"/>
    <w:rsid w:val="00BE0F20"/>
    <w:rsid w:val="00BE116B"/>
    <w:rsid w:val="00BE1CE9"/>
    <w:rsid w:val="00BE2A2D"/>
    <w:rsid w:val="00BE31FC"/>
    <w:rsid w:val="00BE34DC"/>
    <w:rsid w:val="00BE3CEB"/>
    <w:rsid w:val="00BE3D42"/>
    <w:rsid w:val="00BE3DC2"/>
    <w:rsid w:val="00BE3E4C"/>
    <w:rsid w:val="00BE50A6"/>
    <w:rsid w:val="00BE55CD"/>
    <w:rsid w:val="00BE56C2"/>
    <w:rsid w:val="00BE5EB3"/>
    <w:rsid w:val="00BE6191"/>
    <w:rsid w:val="00BE673A"/>
    <w:rsid w:val="00BF0742"/>
    <w:rsid w:val="00BF0945"/>
    <w:rsid w:val="00BF1151"/>
    <w:rsid w:val="00BF25E4"/>
    <w:rsid w:val="00BF2961"/>
    <w:rsid w:val="00BF2BA0"/>
    <w:rsid w:val="00BF35AA"/>
    <w:rsid w:val="00BF3629"/>
    <w:rsid w:val="00BF3746"/>
    <w:rsid w:val="00BF3A65"/>
    <w:rsid w:val="00BF3DF7"/>
    <w:rsid w:val="00BF44A4"/>
    <w:rsid w:val="00BF6AED"/>
    <w:rsid w:val="00BF6ED7"/>
    <w:rsid w:val="00BF7266"/>
    <w:rsid w:val="00BF7BA0"/>
    <w:rsid w:val="00BF7EA2"/>
    <w:rsid w:val="00BF7FB2"/>
    <w:rsid w:val="00C00447"/>
    <w:rsid w:val="00C0121C"/>
    <w:rsid w:val="00C0309C"/>
    <w:rsid w:val="00C03BA7"/>
    <w:rsid w:val="00C03E46"/>
    <w:rsid w:val="00C041AB"/>
    <w:rsid w:val="00C04A14"/>
    <w:rsid w:val="00C05605"/>
    <w:rsid w:val="00C05F08"/>
    <w:rsid w:val="00C05F6B"/>
    <w:rsid w:val="00C060C2"/>
    <w:rsid w:val="00C06A30"/>
    <w:rsid w:val="00C10025"/>
    <w:rsid w:val="00C10028"/>
    <w:rsid w:val="00C10368"/>
    <w:rsid w:val="00C105CB"/>
    <w:rsid w:val="00C12DF2"/>
    <w:rsid w:val="00C12EAE"/>
    <w:rsid w:val="00C133E9"/>
    <w:rsid w:val="00C1395C"/>
    <w:rsid w:val="00C13AA4"/>
    <w:rsid w:val="00C13E55"/>
    <w:rsid w:val="00C14AE3"/>
    <w:rsid w:val="00C14EBB"/>
    <w:rsid w:val="00C1510B"/>
    <w:rsid w:val="00C166FF"/>
    <w:rsid w:val="00C1684D"/>
    <w:rsid w:val="00C16E19"/>
    <w:rsid w:val="00C17353"/>
    <w:rsid w:val="00C207CE"/>
    <w:rsid w:val="00C2112D"/>
    <w:rsid w:val="00C21CB7"/>
    <w:rsid w:val="00C21E7A"/>
    <w:rsid w:val="00C22BB2"/>
    <w:rsid w:val="00C22C90"/>
    <w:rsid w:val="00C23434"/>
    <w:rsid w:val="00C23951"/>
    <w:rsid w:val="00C241DB"/>
    <w:rsid w:val="00C24206"/>
    <w:rsid w:val="00C24D97"/>
    <w:rsid w:val="00C260E5"/>
    <w:rsid w:val="00C26269"/>
    <w:rsid w:val="00C264B7"/>
    <w:rsid w:val="00C2688B"/>
    <w:rsid w:val="00C27BD2"/>
    <w:rsid w:val="00C30313"/>
    <w:rsid w:val="00C307FD"/>
    <w:rsid w:val="00C30906"/>
    <w:rsid w:val="00C30F7C"/>
    <w:rsid w:val="00C322D7"/>
    <w:rsid w:val="00C338D0"/>
    <w:rsid w:val="00C33DD6"/>
    <w:rsid w:val="00C33E7A"/>
    <w:rsid w:val="00C34018"/>
    <w:rsid w:val="00C3525F"/>
    <w:rsid w:val="00C35D9C"/>
    <w:rsid w:val="00C4199A"/>
    <w:rsid w:val="00C42599"/>
    <w:rsid w:val="00C42BB6"/>
    <w:rsid w:val="00C42BFD"/>
    <w:rsid w:val="00C43E44"/>
    <w:rsid w:val="00C44F35"/>
    <w:rsid w:val="00C47235"/>
    <w:rsid w:val="00C47554"/>
    <w:rsid w:val="00C47B21"/>
    <w:rsid w:val="00C47C12"/>
    <w:rsid w:val="00C501FF"/>
    <w:rsid w:val="00C502D3"/>
    <w:rsid w:val="00C50C69"/>
    <w:rsid w:val="00C512FA"/>
    <w:rsid w:val="00C51F66"/>
    <w:rsid w:val="00C52E8E"/>
    <w:rsid w:val="00C52F86"/>
    <w:rsid w:val="00C5318E"/>
    <w:rsid w:val="00C5356B"/>
    <w:rsid w:val="00C53E51"/>
    <w:rsid w:val="00C5437C"/>
    <w:rsid w:val="00C5493B"/>
    <w:rsid w:val="00C55E69"/>
    <w:rsid w:val="00C57ADE"/>
    <w:rsid w:val="00C6069D"/>
    <w:rsid w:val="00C608FB"/>
    <w:rsid w:val="00C610DC"/>
    <w:rsid w:val="00C61423"/>
    <w:rsid w:val="00C62969"/>
    <w:rsid w:val="00C62CE1"/>
    <w:rsid w:val="00C65521"/>
    <w:rsid w:val="00C66EC5"/>
    <w:rsid w:val="00C67191"/>
    <w:rsid w:val="00C676C1"/>
    <w:rsid w:val="00C67948"/>
    <w:rsid w:val="00C711A4"/>
    <w:rsid w:val="00C72659"/>
    <w:rsid w:val="00C73198"/>
    <w:rsid w:val="00C74C52"/>
    <w:rsid w:val="00C76C77"/>
    <w:rsid w:val="00C77121"/>
    <w:rsid w:val="00C7771E"/>
    <w:rsid w:val="00C77857"/>
    <w:rsid w:val="00C77A5F"/>
    <w:rsid w:val="00C801DF"/>
    <w:rsid w:val="00C8062E"/>
    <w:rsid w:val="00C80922"/>
    <w:rsid w:val="00C80D98"/>
    <w:rsid w:val="00C81657"/>
    <w:rsid w:val="00C81966"/>
    <w:rsid w:val="00C8237F"/>
    <w:rsid w:val="00C82533"/>
    <w:rsid w:val="00C8297E"/>
    <w:rsid w:val="00C82D9B"/>
    <w:rsid w:val="00C83134"/>
    <w:rsid w:val="00C83D52"/>
    <w:rsid w:val="00C84062"/>
    <w:rsid w:val="00C8456E"/>
    <w:rsid w:val="00C847BE"/>
    <w:rsid w:val="00C861B7"/>
    <w:rsid w:val="00C86B31"/>
    <w:rsid w:val="00C875D0"/>
    <w:rsid w:val="00C90CA7"/>
    <w:rsid w:val="00C91B30"/>
    <w:rsid w:val="00C92CA5"/>
    <w:rsid w:val="00C938BC"/>
    <w:rsid w:val="00C93D44"/>
    <w:rsid w:val="00C941ED"/>
    <w:rsid w:val="00C968F9"/>
    <w:rsid w:val="00C96A04"/>
    <w:rsid w:val="00CA0954"/>
    <w:rsid w:val="00CA13AB"/>
    <w:rsid w:val="00CA14E6"/>
    <w:rsid w:val="00CA18FA"/>
    <w:rsid w:val="00CA2156"/>
    <w:rsid w:val="00CA2C49"/>
    <w:rsid w:val="00CA32CB"/>
    <w:rsid w:val="00CA36F5"/>
    <w:rsid w:val="00CA4988"/>
    <w:rsid w:val="00CA51AE"/>
    <w:rsid w:val="00CA5658"/>
    <w:rsid w:val="00CA59A9"/>
    <w:rsid w:val="00CA5DC3"/>
    <w:rsid w:val="00CB0550"/>
    <w:rsid w:val="00CB05E7"/>
    <w:rsid w:val="00CB0945"/>
    <w:rsid w:val="00CB0EB4"/>
    <w:rsid w:val="00CB11C6"/>
    <w:rsid w:val="00CB199E"/>
    <w:rsid w:val="00CB2026"/>
    <w:rsid w:val="00CB22E7"/>
    <w:rsid w:val="00CB2D4C"/>
    <w:rsid w:val="00CB3687"/>
    <w:rsid w:val="00CB3B6B"/>
    <w:rsid w:val="00CB3C46"/>
    <w:rsid w:val="00CB47A0"/>
    <w:rsid w:val="00CB49E9"/>
    <w:rsid w:val="00CB5283"/>
    <w:rsid w:val="00CB52B3"/>
    <w:rsid w:val="00CB5CCC"/>
    <w:rsid w:val="00CB6D0A"/>
    <w:rsid w:val="00CC014B"/>
    <w:rsid w:val="00CC01EE"/>
    <w:rsid w:val="00CC1E72"/>
    <w:rsid w:val="00CC1FF0"/>
    <w:rsid w:val="00CC3915"/>
    <w:rsid w:val="00CC3FE2"/>
    <w:rsid w:val="00CC4AE8"/>
    <w:rsid w:val="00CC603A"/>
    <w:rsid w:val="00CC6C3A"/>
    <w:rsid w:val="00CC6EB5"/>
    <w:rsid w:val="00CC6F76"/>
    <w:rsid w:val="00CC7182"/>
    <w:rsid w:val="00CC7621"/>
    <w:rsid w:val="00CC7DFB"/>
    <w:rsid w:val="00CD0347"/>
    <w:rsid w:val="00CD0ABC"/>
    <w:rsid w:val="00CD131B"/>
    <w:rsid w:val="00CD1FFE"/>
    <w:rsid w:val="00CD30BB"/>
    <w:rsid w:val="00CD5C5F"/>
    <w:rsid w:val="00CD657D"/>
    <w:rsid w:val="00CD678B"/>
    <w:rsid w:val="00CD68C7"/>
    <w:rsid w:val="00CD6ED4"/>
    <w:rsid w:val="00CD706B"/>
    <w:rsid w:val="00CD715A"/>
    <w:rsid w:val="00CD7178"/>
    <w:rsid w:val="00CD783E"/>
    <w:rsid w:val="00CD7FE2"/>
    <w:rsid w:val="00CE0CEB"/>
    <w:rsid w:val="00CE4195"/>
    <w:rsid w:val="00CE4486"/>
    <w:rsid w:val="00CE4538"/>
    <w:rsid w:val="00CE4E15"/>
    <w:rsid w:val="00CE54AB"/>
    <w:rsid w:val="00CE7059"/>
    <w:rsid w:val="00CE77BA"/>
    <w:rsid w:val="00CE7F2F"/>
    <w:rsid w:val="00CF00F2"/>
    <w:rsid w:val="00CF02F0"/>
    <w:rsid w:val="00CF042E"/>
    <w:rsid w:val="00CF1026"/>
    <w:rsid w:val="00CF1BCF"/>
    <w:rsid w:val="00CF26C8"/>
    <w:rsid w:val="00CF276C"/>
    <w:rsid w:val="00CF27E3"/>
    <w:rsid w:val="00CF2BA9"/>
    <w:rsid w:val="00CF4D3F"/>
    <w:rsid w:val="00CF6805"/>
    <w:rsid w:val="00CF704C"/>
    <w:rsid w:val="00D0075D"/>
    <w:rsid w:val="00D00F52"/>
    <w:rsid w:val="00D00FE8"/>
    <w:rsid w:val="00D01162"/>
    <w:rsid w:val="00D01290"/>
    <w:rsid w:val="00D014F7"/>
    <w:rsid w:val="00D01D55"/>
    <w:rsid w:val="00D02A80"/>
    <w:rsid w:val="00D02E9D"/>
    <w:rsid w:val="00D02F03"/>
    <w:rsid w:val="00D04511"/>
    <w:rsid w:val="00D04945"/>
    <w:rsid w:val="00D05125"/>
    <w:rsid w:val="00D054FD"/>
    <w:rsid w:val="00D05E08"/>
    <w:rsid w:val="00D060CD"/>
    <w:rsid w:val="00D065A9"/>
    <w:rsid w:val="00D0685A"/>
    <w:rsid w:val="00D06E6F"/>
    <w:rsid w:val="00D075C6"/>
    <w:rsid w:val="00D07623"/>
    <w:rsid w:val="00D07B43"/>
    <w:rsid w:val="00D07F6E"/>
    <w:rsid w:val="00D07FA7"/>
    <w:rsid w:val="00D10041"/>
    <w:rsid w:val="00D1273A"/>
    <w:rsid w:val="00D128AF"/>
    <w:rsid w:val="00D128C1"/>
    <w:rsid w:val="00D129A3"/>
    <w:rsid w:val="00D136B0"/>
    <w:rsid w:val="00D1387C"/>
    <w:rsid w:val="00D139C5"/>
    <w:rsid w:val="00D13A34"/>
    <w:rsid w:val="00D13DF3"/>
    <w:rsid w:val="00D14241"/>
    <w:rsid w:val="00D14358"/>
    <w:rsid w:val="00D14981"/>
    <w:rsid w:val="00D14995"/>
    <w:rsid w:val="00D14F5C"/>
    <w:rsid w:val="00D15D7B"/>
    <w:rsid w:val="00D16252"/>
    <w:rsid w:val="00D167A3"/>
    <w:rsid w:val="00D16EEC"/>
    <w:rsid w:val="00D17117"/>
    <w:rsid w:val="00D17F70"/>
    <w:rsid w:val="00D17FF4"/>
    <w:rsid w:val="00D207E0"/>
    <w:rsid w:val="00D20995"/>
    <w:rsid w:val="00D20B06"/>
    <w:rsid w:val="00D21D2F"/>
    <w:rsid w:val="00D22981"/>
    <w:rsid w:val="00D22EA2"/>
    <w:rsid w:val="00D23BC7"/>
    <w:rsid w:val="00D2401B"/>
    <w:rsid w:val="00D2437B"/>
    <w:rsid w:val="00D24666"/>
    <w:rsid w:val="00D24A6B"/>
    <w:rsid w:val="00D24B8B"/>
    <w:rsid w:val="00D24D6E"/>
    <w:rsid w:val="00D25908"/>
    <w:rsid w:val="00D25AA8"/>
    <w:rsid w:val="00D26563"/>
    <w:rsid w:val="00D265EB"/>
    <w:rsid w:val="00D2756A"/>
    <w:rsid w:val="00D2785D"/>
    <w:rsid w:val="00D2796C"/>
    <w:rsid w:val="00D30384"/>
    <w:rsid w:val="00D30A66"/>
    <w:rsid w:val="00D30D04"/>
    <w:rsid w:val="00D3200E"/>
    <w:rsid w:val="00D32C3C"/>
    <w:rsid w:val="00D3359D"/>
    <w:rsid w:val="00D33902"/>
    <w:rsid w:val="00D34047"/>
    <w:rsid w:val="00D34239"/>
    <w:rsid w:val="00D34565"/>
    <w:rsid w:val="00D34ECE"/>
    <w:rsid w:val="00D35881"/>
    <w:rsid w:val="00D35B38"/>
    <w:rsid w:val="00D3601F"/>
    <w:rsid w:val="00D36997"/>
    <w:rsid w:val="00D36F33"/>
    <w:rsid w:val="00D37C20"/>
    <w:rsid w:val="00D37FCE"/>
    <w:rsid w:val="00D40661"/>
    <w:rsid w:val="00D40CE1"/>
    <w:rsid w:val="00D40DFB"/>
    <w:rsid w:val="00D41A35"/>
    <w:rsid w:val="00D42649"/>
    <w:rsid w:val="00D42813"/>
    <w:rsid w:val="00D446E9"/>
    <w:rsid w:val="00D47116"/>
    <w:rsid w:val="00D47849"/>
    <w:rsid w:val="00D50BA1"/>
    <w:rsid w:val="00D51708"/>
    <w:rsid w:val="00D52914"/>
    <w:rsid w:val="00D52CDE"/>
    <w:rsid w:val="00D52D6B"/>
    <w:rsid w:val="00D53145"/>
    <w:rsid w:val="00D54041"/>
    <w:rsid w:val="00D54235"/>
    <w:rsid w:val="00D54728"/>
    <w:rsid w:val="00D54B2E"/>
    <w:rsid w:val="00D54E02"/>
    <w:rsid w:val="00D54FF4"/>
    <w:rsid w:val="00D55C97"/>
    <w:rsid w:val="00D56370"/>
    <w:rsid w:val="00D5684C"/>
    <w:rsid w:val="00D57AB0"/>
    <w:rsid w:val="00D60AE4"/>
    <w:rsid w:val="00D618A7"/>
    <w:rsid w:val="00D61AFB"/>
    <w:rsid w:val="00D620F1"/>
    <w:rsid w:val="00D636D6"/>
    <w:rsid w:val="00D63F3A"/>
    <w:rsid w:val="00D6494A"/>
    <w:rsid w:val="00D65AF6"/>
    <w:rsid w:val="00D66EB3"/>
    <w:rsid w:val="00D67203"/>
    <w:rsid w:val="00D70A4A"/>
    <w:rsid w:val="00D7147C"/>
    <w:rsid w:val="00D714AA"/>
    <w:rsid w:val="00D71649"/>
    <w:rsid w:val="00D71AB8"/>
    <w:rsid w:val="00D71CD7"/>
    <w:rsid w:val="00D71CFB"/>
    <w:rsid w:val="00D735B3"/>
    <w:rsid w:val="00D74956"/>
    <w:rsid w:val="00D74A8B"/>
    <w:rsid w:val="00D74B1C"/>
    <w:rsid w:val="00D75BDE"/>
    <w:rsid w:val="00D76401"/>
    <w:rsid w:val="00D76664"/>
    <w:rsid w:val="00D773B1"/>
    <w:rsid w:val="00D77A98"/>
    <w:rsid w:val="00D77F01"/>
    <w:rsid w:val="00D808BA"/>
    <w:rsid w:val="00D81855"/>
    <w:rsid w:val="00D81992"/>
    <w:rsid w:val="00D8279E"/>
    <w:rsid w:val="00D82901"/>
    <w:rsid w:val="00D82AE5"/>
    <w:rsid w:val="00D831A4"/>
    <w:rsid w:val="00D837DC"/>
    <w:rsid w:val="00D83912"/>
    <w:rsid w:val="00D83ABC"/>
    <w:rsid w:val="00D84745"/>
    <w:rsid w:val="00D84DFD"/>
    <w:rsid w:val="00D84F52"/>
    <w:rsid w:val="00D852B5"/>
    <w:rsid w:val="00D8543A"/>
    <w:rsid w:val="00D858B9"/>
    <w:rsid w:val="00D86AC6"/>
    <w:rsid w:val="00D876A5"/>
    <w:rsid w:val="00D907B1"/>
    <w:rsid w:val="00D90BBF"/>
    <w:rsid w:val="00D917C3"/>
    <w:rsid w:val="00D9327A"/>
    <w:rsid w:val="00D937FA"/>
    <w:rsid w:val="00D93EA2"/>
    <w:rsid w:val="00D94335"/>
    <w:rsid w:val="00D94924"/>
    <w:rsid w:val="00D94B56"/>
    <w:rsid w:val="00D95FAD"/>
    <w:rsid w:val="00D9618C"/>
    <w:rsid w:val="00D97B41"/>
    <w:rsid w:val="00D97E58"/>
    <w:rsid w:val="00DA0662"/>
    <w:rsid w:val="00DA0B43"/>
    <w:rsid w:val="00DA0D56"/>
    <w:rsid w:val="00DA0DC8"/>
    <w:rsid w:val="00DA0FB5"/>
    <w:rsid w:val="00DA1E34"/>
    <w:rsid w:val="00DA2829"/>
    <w:rsid w:val="00DA2EE0"/>
    <w:rsid w:val="00DA2F64"/>
    <w:rsid w:val="00DA47ED"/>
    <w:rsid w:val="00DA63A6"/>
    <w:rsid w:val="00DA7B48"/>
    <w:rsid w:val="00DA7CE9"/>
    <w:rsid w:val="00DB02FE"/>
    <w:rsid w:val="00DB0B6D"/>
    <w:rsid w:val="00DB24EF"/>
    <w:rsid w:val="00DB3D33"/>
    <w:rsid w:val="00DB4AA4"/>
    <w:rsid w:val="00DB5BA2"/>
    <w:rsid w:val="00DB653D"/>
    <w:rsid w:val="00DB7195"/>
    <w:rsid w:val="00DB7BFC"/>
    <w:rsid w:val="00DC002D"/>
    <w:rsid w:val="00DC01CC"/>
    <w:rsid w:val="00DC030D"/>
    <w:rsid w:val="00DC03AD"/>
    <w:rsid w:val="00DC06AF"/>
    <w:rsid w:val="00DC1237"/>
    <w:rsid w:val="00DC153E"/>
    <w:rsid w:val="00DC1885"/>
    <w:rsid w:val="00DC18A7"/>
    <w:rsid w:val="00DC1C66"/>
    <w:rsid w:val="00DC249E"/>
    <w:rsid w:val="00DC2717"/>
    <w:rsid w:val="00DC3D41"/>
    <w:rsid w:val="00DC3FA4"/>
    <w:rsid w:val="00DC49D2"/>
    <w:rsid w:val="00DC547F"/>
    <w:rsid w:val="00DC5F38"/>
    <w:rsid w:val="00DC629C"/>
    <w:rsid w:val="00DC6569"/>
    <w:rsid w:val="00DC69AF"/>
    <w:rsid w:val="00DC69F8"/>
    <w:rsid w:val="00DC6A1F"/>
    <w:rsid w:val="00DC73F1"/>
    <w:rsid w:val="00DD1021"/>
    <w:rsid w:val="00DD115A"/>
    <w:rsid w:val="00DD1E1F"/>
    <w:rsid w:val="00DD28C1"/>
    <w:rsid w:val="00DD2972"/>
    <w:rsid w:val="00DD2E38"/>
    <w:rsid w:val="00DD5687"/>
    <w:rsid w:val="00DD5721"/>
    <w:rsid w:val="00DD5DE7"/>
    <w:rsid w:val="00DD68F5"/>
    <w:rsid w:val="00DD6AE9"/>
    <w:rsid w:val="00DD6CBB"/>
    <w:rsid w:val="00DE02CA"/>
    <w:rsid w:val="00DE0B95"/>
    <w:rsid w:val="00DE2BE5"/>
    <w:rsid w:val="00DE2D46"/>
    <w:rsid w:val="00DE3BCF"/>
    <w:rsid w:val="00DE3E4F"/>
    <w:rsid w:val="00DE3F07"/>
    <w:rsid w:val="00DE5410"/>
    <w:rsid w:val="00DE56FA"/>
    <w:rsid w:val="00DE5D9F"/>
    <w:rsid w:val="00DE684D"/>
    <w:rsid w:val="00DE6AC3"/>
    <w:rsid w:val="00DE7BC5"/>
    <w:rsid w:val="00DE7C17"/>
    <w:rsid w:val="00DE7CCD"/>
    <w:rsid w:val="00DF0628"/>
    <w:rsid w:val="00DF1ACC"/>
    <w:rsid w:val="00DF2201"/>
    <w:rsid w:val="00DF32A7"/>
    <w:rsid w:val="00DF3723"/>
    <w:rsid w:val="00DF416A"/>
    <w:rsid w:val="00DF46C2"/>
    <w:rsid w:val="00DF4FA6"/>
    <w:rsid w:val="00DF6917"/>
    <w:rsid w:val="00DF6D26"/>
    <w:rsid w:val="00DF6D56"/>
    <w:rsid w:val="00DF7565"/>
    <w:rsid w:val="00DF78D7"/>
    <w:rsid w:val="00E0083D"/>
    <w:rsid w:val="00E017DE"/>
    <w:rsid w:val="00E0260B"/>
    <w:rsid w:val="00E030E5"/>
    <w:rsid w:val="00E038AE"/>
    <w:rsid w:val="00E04961"/>
    <w:rsid w:val="00E04EFD"/>
    <w:rsid w:val="00E052C7"/>
    <w:rsid w:val="00E05389"/>
    <w:rsid w:val="00E0576E"/>
    <w:rsid w:val="00E059D0"/>
    <w:rsid w:val="00E06E78"/>
    <w:rsid w:val="00E074F2"/>
    <w:rsid w:val="00E07836"/>
    <w:rsid w:val="00E10B99"/>
    <w:rsid w:val="00E111CA"/>
    <w:rsid w:val="00E11F53"/>
    <w:rsid w:val="00E12652"/>
    <w:rsid w:val="00E139B9"/>
    <w:rsid w:val="00E143C3"/>
    <w:rsid w:val="00E148CD"/>
    <w:rsid w:val="00E15E1C"/>
    <w:rsid w:val="00E16290"/>
    <w:rsid w:val="00E16668"/>
    <w:rsid w:val="00E17D2C"/>
    <w:rsid w:val="00E21276"/>
    <w:rsid w:val="00E219F2"/>
    <w:rsid w:val="00E22DDC"/>
    <w:rsid w:val="00E22EE5"/>
    <w:rsid w:val="00E237CE"/>
    <w:rsid w:val="00E24797"/>
    <w:rsid w:val="00E25642"/>
    <w:rsid w:val="00E25C1D"/>
    <w:rsid w:val="00E262CC"/>
    <w:rsid w:val="00E263C0"/>
    <w:rsid w:val="00E26CB5"/>
    <w:rsid w:val="00E26CC2"/>
    <w:rsid w:val="00E2704D"/>
    <w:rsid w:val="00E30C6C"/>
    <w:rsid w:val="00E31247"/>
    <w:rsid w:val="00E314F7"/>
    <w:rsid w:val="00E31999"/>
    <w:rsid w:val="00E3274B"/>
    <w:rsid w:val="00E3324C"/>
    <w:rsid w:val="00E3339D"/>
    <w:rsid w:val="00E3368E"/>
    <w:rsid w:val="00E33988"/>
    <w:rsid w:val="00E341FA"/>
    <w:rsid w:val="00E3424D"/>
    <w:rsid w:val="00E3430B"/>
    <w:rsid w:val="00E349D8"/>
    <w:rsid w:val="00E350BA"/>
    <w:rsid w:val="00E359AB"/>
    <w:rsid w:val="00E35EAE"/>
    <w:rsid w:val="00E37188"/>
    <w:rsid w:val="00E40D58"/>
    <w:rsid w:val="00E41D58"/>
    <w:rsid w:val="00E4277D"/>
    <w:rsid w:val="00E427FB"/>
    <w:rsid w:val="00E42962"/>
    <w:rsid w:val="00E430ED"/>
    <w:rsid w:val="00E43238"/>
    <w:rsid w:val="00E4367F"/>
    <w:rsid w:val="00E436D5"/>
    <w:rsid w:val="00E44A39"/>
    <w:rsid w:val="00E45198"/>
    <w:rsid w:val="00E456DF"/>
    <w:rsid w:val="00E4621B"/>
    <w:rsid w:val="00E4685A"/>
    <w:rsid w:val="00E5051B"/>
    <w:rsid w:val="00E507C9"/>
    <w:rsid w:val="00E520D7"/>
    <w:rsid w:val="00E5363F"/>
    <w:rsid w:val="00E53B3A"/>
    <w:rsid w:val="00E55A63"/>
    <w:rsid w:val="00E5610F"/>
    <w:rsid w:val="00E5666B"/>
    <w:rsid w:val="00E566DE"/>
    <w:rsid w:val="00E57276"/>
    <w:rsid w:val="00E57791"/>
    <w:rsid w:val="00E579D8"/>
    <w:rsid w:val="00E6019D"/>
    <w:rsid w:val="00E607AB"/>
    <w:rsid w:val="00E6085C"/>
    <w:rsid w:val="00E60F60"/>
    <w:rsid w:val="00E61954"/>
    <w:rsid w:val="00E6280F"/>
    <w:rsid w:val="00E63498"/>
    <w:rsid w:val="00E63A84"/>
    <w:rsid w:val="00E64D10"/>
    <w:rsid w:val="00E6512F"/>
    <w:rsid w:val="00E66000"/>
    <w:rsid w:val="00E663C3"/>
    <w:rsid w:val="00E67D75"/>
    <w:rsid w:val="00E70B2B"/>
    <w:rsid w:val="00E70E8C"/>
    <w:rsid w:val="00E71272"/>
    <w:rsid w:val="00E718AF"/>
    <w:rsid w:val="00E73C19"/>
    <w:rsid w:val="00E74015"/>
    <w:rsid w:val="00E742D2"/>
    <w:rsid w:val="00E7437D"/>
    <w:rsid w:val="00E7451B"/>
    <w:rsid w:val="00E74FC6"/>
    <w:rsid w:val="00E75328"/>
    <w:rsid w:val="00E758B1"/>
    <w:rsid w:val="00E75A26"/>
    <w:rsid w:val="00E75BCB"/>
    <w:rsid w:val="00E7653C"/>
    <w:rsid w:val="00E76D85"/>
    <w:rsid w:val="00E773B7"/>
    <w:rsid w:val="00E82139"/>
    <w:rsid w:val="00E82579"/>
    <w:rsid w:val="00E8290B"/>
    <w:rsid w:val="00E8384F"/>
    <w:rsid w:val="00E83A60"/>
    <w:rsid w:val="00E84816"/>
    <w:rsid w:val="00E85580"/>
    <w:rsid w:val="00E8579A"/>
    <w:rsid w:val="00E85BD5"/>
    <w:rsid w:val="00E86130"/>
    <w:rsid w:val="00E86546"/>
    <w:rsid w:val="00E865DE"/>
    <w:rsid w:val="00E87CE9"/>
    <w:rsid w:val="00E901AA"/>
    <w:rsid w:val="00E918E2"/>
    <w:rsid w:val="00E92B6E"/>
    <w:rsid w:val="00E93036"/>
    <w:rsid w:val="00E934BA"/>
    <w:rsid w:val="00E9379B"/>
    <w:rsid w:val="00E93BE4"/>
    <w:rsid w:val="00E95454"/>
    <w:rsid w:val="00E9560A"/>
    <w:rsid w:val="00E95C35"/>
    <w:rsid w:val="00E96D28"/>
    <w:rsid w:val="00E9735C"/>
    <w:rsid w:val="00E978AB"/>
    <w:rsid w:val="00E97CFD"/>
    <w:rsid w:val="00EA0229"/>
    <w:rsid w:val="00EA032E"/>
    <w:rsid w:val="00EA0F9C"/>
    <w:rsid w:val="00EA108F"/>
    <w:rsid w:val="00EA1289"/>
    <w:rsid w:val="00EA19D3"/>
    <w:rsid w:val="00EA39C8"/>
    <w:rsid w:val="00EA414D"/>
    <w:rsid w:val="00EA564B"/>
    <w:rsid w:val="00EA6176"/>
    <w:rsid w:val="00EA64BA"/>
    <w:rsid w:val="00EA7052"/>
    <w:rsid w:val="00EA788F"/>
    <w:rsid w:val="00EA7945"/>
    <w:rsid w:val="00EA7C29"/>
    <w:rsid w:val="00EB08D0"/>
    <w:rsid w:val="00EB0D18"/>
    <w:rsid w:val="00EB166A"/>
    <w:rsid w:val="00EB169C"/>
    <w:rsid w:val="00EB1C53"/>
    <w:rsid w:val="00EB3175"/>
    <w:rsid w:val="00EB31D1"/>
    <w:rsid w:val="00EB3C11"/>
    <w:rsid w:val="00EB4B2F"/>
    <w:rsid w:val="00EB5218"/>
    <w:rsid w:val="00EB5355"/>
    <w:rsid w:val="00EB5704"/>
    <w:rsid w:val="00EB61A1"/>
    <w:rsid w:val="00EB63CA"/>
    <w:rsid w:val="00EB66F6"/>
    <w:rsid w:val="00EB6BAB"/>
    <w:rsid w:val="00EB6F0C"/>
    <w:rsid w:val="00EB7B54"/>
    <w:rsid w:val="00EC06D3"/>
    <w:rsid w:val="00EC1177"/>
    <w:rsid w:val="00EC2FC9"/>
    <w:rsid w:val="00EC30F2"/>
    <w:rsid w:val="00EC33B6"/>
    <w:rsid w:val="00EC3944"/>
    <w:rsid w:val="00EC4163"/>
    <w:rsid w:val="00EC53FA"/>
    <w:rsid w:val="00EC5C1F"/>
    <w:rsid w:val="00ED0022"/>
    <w:rsid w:val="00ED0B8E"/>
    <w:rsid w:val="00ED109F"/>
    <w:rsid w:val="00ED1706"/>
    <w:rsid w:val="00ED235E"/>
    <w:rsid w:val="00ED23CC"/>
    <w:rsid w:val="00ED2523"/>
    <w:rsid w:val="00ED335E"/>
    <w:rsid w:val="00ED3CD6"/>
    <w:rsid w:val="00ED3D4D"/>
    <w:rsid w:val="00ED4874"/>
    <w:rsid w:val="00ED4D7E"/>
    <w:rsid w:val="00ED637F"/>
    <w:rsid w:val="00ED70BB"/>
    <w:rsid w:val="00EE1581"/>
    <w:rsid w:val="00EE2469"/>
    <w:rsid w:val="00EE2E1F"/>
    <w:rsid w:val="00EE34C8"/>
    <w:rsid w:val="00EE3623"/>
    <w:rsid w:val="00EE383C"/>
    <w:rsid w:val="00EE497D"/>
    <w:rsid w:val="00EE5588"/>
    <w:rsid w:val="00EE5F6A"/>
    <w:rsid w:val="00EE6158"/>
    <w:rsid w:val="00EE67D8"/>
    <w:rsid w:val="00EF0012"/>
    <w:rsid w:val="00EF0883"/>
    <w:rsid w:val="00EF15F6"/>
    <w:rsid w:val="00EF1C2F"/>
    <w:rsid w:val="00EF2E83"/>
    <w:rsid w:val="00EF383F"/>
    <w:rsid w:val="00EF3FB3"/>
    <w:rsid w:val="00EF4089"/>
    <w:rsid w:val="00EF464E"/>
    <w:rsid w:val="00EF4B72"/>
    <w:rsid w:val="00EF4ED3"/>
    <w:rsid w:val="00EF61FF"/>
    <w:rsid w:val="00EF62DF"/>
    <w:rsid w:val="00EF6BFC"/>
    <w:rsid w:val="00EF72F9"/>
    <w:rsid w:val="00F02040"/>
    <w:rsid w:val="00F029C8"/>
    <w:rsid w:val="00F03BEB"/>
    <w:rsid w:val="00F03FDD"/>
    <w:rsid w:val="00F0412E"/>
    <w:rsid w:val="00F048AD"/>
    <w:rsid w:val="00F04FD7"/>
    <w:rsid w:val="00F063C0"/>
    <w:rsid w:val="00F06FC8"/>
    <w:rsid w:val="00F076C7"/>
    <w:rsid w:val="00F07AFE"/>
    <w:rsid w:val="00F10705"/>
    <w:rsid w:val="00F10B68"/>
    <w:rsid w:val="00F1170F"/>
    <w:rsid w:val="00F11A13"/>
    <w:rsid w:val="00F12326"/>
    <w:rsid w:val="00F12833"/>
    <w:rsid w:val="00F134EC"/>
    <w:rsid w:val="00F13810"/>
    <w:rsid w:val="00F1439B"/>
    <w:rsid w:val="00F14443"/>
    <w:rsid w:val="00F1634D"/>
    <w:rsid w:val="00F163E6"/>
    <w:rsid w:val="00F16BF9"/>
    <w:rsid w:val="00F16FB5"/>
    <w:rsid w:val="00F16FCC"/>
    <w:rsid w:val="00F2042E"/>
    <w:rsid w:val="00F20C4D"/>
    <w:rsid w:val="00F210AC"/>
    <w:rsid w:val="00F2276A"/>
    <w:rsid w:val="00F2485A"/>
    <w:rsid w:val="00F25385"/>
    <w:rsid w:val="00F258F8"/>
    <w:rsid w:val="00F300BF"/>
    <w:rsid w:val="00F3076E"/>
    <w:rsid w:val="00F3130F"/>
    <w:rsid w:val="00F31509"/>
    <w:rsid w:val="00F31772"/>
    <w:rsid w:val="00F32291"/>
    <w:rsid w:val="00F327CE"/>
    <w:rsid w:val="00F3321A"/>
    <w:rsid w:val="00F33509"/>
    <w:rsid w:val="00F33E7E"/>
    <w:rsid w:val="00F34051"/>
    <w:rsid w:val="00F343EF"/>
    <w:rsid w:val="00F35463"/>
    <w:rsid w:val="00F35D34"/>
    <w:rsid w:val="00F36921"/>
    <w:rsid w:val="00F36B41"/>
    <w:rsid w:val="00F36C88"/>
    <w:rsid w:val="00F36FE7"/>
    <w:rsid w:val="00F37589"/>
    <w:rsid w:val="00F37703"/>
    <w:rsid w:val="00F37883"/>
    <w:rsid w:val="00F37BCA"/>
    <w:rsid w:val="00F37C5B"/>
    <w:rsid w:val="00F37DAB"/>
    <w:rsid w:val="00F40172"/>
    <w:rsid w:val="00F40D1F"/>
    <w:rsid w:val="00F413FD"/>
    <w:rsid w:val="00F417D9"/>
    <w:rsid w:val="00F418C7"/>
    <w:rsid w:val="00F41C2D"/>
    <w:rsid w:val="00F41E33"/>
    <w:rsid w:val="00F421F5"/>
    <w:rsid w:val="00F424D8"/>
    <w:rsid w:val="00F42637"/>
    <w:rsid w:val="00F429AE"/>
    <w:rsid w:val="00F4317D"/>
    <w:rsid w:val="00F43770"/>
    <w:rsid w:val="00F43B6F"/>
    <w:rsid w:val="00F43DFE"/>
    <w:rsid w:val="00F44E33"/>
    <w:rsid w:val="00F452B6"/>
    <w:rsid w:val="00F468EA"/>
    <w:rsid w:val="00F51262"/>
    <w:rsid w:val="00F51EDF"/>
    <w:rsid w:val="00F51F7A"/>
    <w:rsid w:val="00F522B7"/>
    <w:rsid w:val="00F52870"/>
    <w:rsid w:val="00F533F5"/>
    <w:rsid w:val="00F54D71"/>
    <w:rsid w:val="00F55821"/>
    <w:rsid w:val="00F55927"/>
    <w:rsid w:val="00F55A73"/>
    <w:rsid w:val="00F56065"/>
    <w:rsid w:val="00F5630F"/>
    <w:rsid w:val="00F577EA"/>
    <w:rsid w:val="00F6160C"/>
    <w:rsid w:val="00F61DC0"/>
    <w:rsid w:val="00F62F98"/>
    <w:rsid w:val="00F6394C"/>
    <w:rsid w:val="00F63CEA"/>
    <w:rsid w:val="00F6492A"/>
    <w:rsid w:val="00F6494C"/>
    <w:rsid w:val="00F64C1D"/>
    <w:rsid w:val="00F652E0"/>
    <w:rsid w:val="00F657A6"/>
    <w:rsid w:val="00F65EAF"/>
    <w:rsid w:val="00F67949"/>
    <w:rsid w:val="00F70A54"/>
    <w:rsid w:val="00F70A61"/>
    <w:rsid w:val="00F72A72"/>
    <w:rsid w:val="00F7394A"/>
    <w:rsid w:val="00F73D65"/>
    <w:rsid w:val="00F743F2"/>
    <w:rsid w:val="00F74603"/>
    <w:rsid w:val="00F74741"/>
    <w:rsid w:val="00F74D21"/>
    <w:rsid w:val="00F7534C"/>
    <w:rsid w:val="00F75500"/>
    <w:rsid w:val="00F75D19"/>
    <w:rsid w:val="00F76178"/>
    <w:rsid w:val="00F76608"/>
    <w:rsid w:val="00F76B66"/>
    <w:rsid w:val="00F76BD1"/>
    <w:rsid w:val="00F770EB"/>
    <w:rsid w:val="00F804AA"/>
    <w:rsid w:val="00F8105F"/>
    <w:rsid w:val="00F819F8"/>
    <w:rsid w:val="00F82463"/>
    <w:rsid w:val="00F83E7A"/>
    <w:rsid w:val="00F84006"/>
    <w:rsid w:val="00F858A8"/>
    <w:rsid w:val="00F85AE1"/>
    <w:rsid w:val="00F86829"/>
    <w:rsid w:val="00F86B84"/>
    <w:rsid w:val="00F8732C"/>
    <w:rsid w:val="00F87975"/>
    <w:rsid w:val="00F90403"/>
    <w:rsid w:val="00F90434"/>
    <w:rsid w:val="00F908CF"/>
    <w:rsid w:val="00F90942"/>
    <w:rsid w:val="00F9246B"/>
    <w:rsid w:val="00F93EF4"/>
    <w:rsid w:val="00F95076"/>
    <w:rsid w:val="00F95561"/>
    <w:rsid w:val="00F95573"/>
    <w:rsid w:val="00F95CC5"/>
    <w:rsid w:val="00F970F5"/>
    <w:rsid w:val="00F97601"/>
    <w:rsid w:val="00FA0373"/>
    <w:rsid w:val="00FA03E5"/>
    <w:rsid w:val="00FA0561"/>
    <w:rsid w:val="00FA0813"/>
    <w:rsid w:val="00FA14EC"/>
    <w:rsid w:val="00FA2115"/>
    <w:rsid w:val="00FA22B9"/>
    <w:rsid w:val="00FA2F83"/>
    <w:rsid w:val="00FA39E4"/>
    <w:rsid w:val="00FA47C9"/>
    <w:rsid w:val="00FA4999"/>
    <w:rsid w:val="00FA4AE2"/>
    <w:rsid w:val="00FA4C9F"/>
    <w:rsid w:val="00FA54FF"/>
    <w:rsid w:val="00FA57DB"/>
    <w:rsid w:val="00FA58D7"/>
    <w:rsid w:val="00FA5E85"/>
    <w:rsid w:val="00FA6AFF"/>
    <w:rsid w:val="00FA6E63"/>
    <w:rsid w:val="00FB0AE8"/>
    <w:rsid w:val="00FB0DBB"/>
    <w:rsid w:val="00FB1170"/>
    <w:rsid w:val="00FB209B"/>
    <w:rsid w:val="00FB26F7"/>
    <w:rsid w:val="00FB2A02"/>
    <w:rsid w:val="00FB2B8B"/>
    <w:rsid w:val="00FB3D36"/>
    <w:rsid w:val="00FB3D92"/>
    <w:rsid w:val="00FB448D"/>
    <w:rsid w:val="00FB483A"/>
    <w:rsid w:val="00FB661C"/>
    <w:rsid w:val="00FB720A"/>
    <w:rsid w:val="00FB7704"/>
    <w:rsid w:val="00FC01D0"/>
    <w:rsid w:val="00FC0989"/>
    <w:rsid w:val="00FC0ADE"/>
    <w:rsid w:val="00FC1706"/>
    <w:rsid w:val="00FC2450"/>
    <w:rsid w:val="00FC2E7D"/>
    <w:rsid w:val="00FC32EF"/>
    <w:rsid w:val="00FC4359"/>
    <w:rsid w:val="00FC46D3"/>
    <w:rsid w:val="00FC4D23"/>
    <w:rsid w:val="00FC4F64"/>
    <w:rsid w:val="00FC5342"/>
    <w:rsid w:val="00FC5A5B"/>
    <w:rsid w:val="00FC5F23"/>
    <w:rsid w:val="00FC61A9"/>
    <w:rsid w:val="00FC6333"/>
    <w:rsid w:val="00FC64E6"/>
    <w:rsid w:val="00FC68C5"/>
    <w:rsid w:val="00FC7938"/>
    <w:rsid w:val="00FC7B28"/>
    <w:rsid w:val="00FC7DA4"/>
    <w:rsid w:val="00FD0133"/>
    <w:rsid w:val="00FD0203"/>
    <w:rsid w:val="00FD0233"/>
    <w:rsid w:val="00FD07AB"/>
    <w:rsid w:val="00FD1512"/>
    <w:rsid w:val="00FD1AD2"/>
    <w:rsid w:val="00FD1D39"/>
    <w:rsid w:val="00FD2612"/>
    <w:rsid w:val="00FD420C"/>
    <w:rsid w:val="00FD4D19"/>
    <w:rsid w:val="00FD4DD9"/>
    <w:rsid w:val="00FD73B8"/>
    <w:rsid w:val="00FD799E"/>
    <w:rsid w:val="00FE0363"/>
    <w:rsid w:val="00FE12B8"/>
    <w:rsid w:val="00FE1760"/>
    <w:rsid w:val="00FE1C53"/>
    <w:rsid w:val="00FE1E9F"/>
    <w:rsid w:val="00FE2265"/>
    <w:rsid w:val="00FE24C6"/>
    <w:rsid w:val="00FE25B8"/>
    <w:rsid w:val="00FE3470"/>
    <w:rsid w:val="00FE3C9F"/>
    <w:rsid w:val="00FE44CD"/>
    <w:rsid w:val="00FE4C42"/>
    <w:rsid w:val="00FE4CD5"/>
    <w:rsid w:val="00FE570F"/>
    <w:rsid w:val="00FE58CA"/>
    <w:rsid w:val="00FE6DE9"/>
    <w:rsid w:val="00FE746F"/>
    <w:rsid w:val="00FE7C3E"/>
    <w:rsid w:val="00FF01CB"/>
    <w:rsid w:val="00FF07A8"/>
    <w:rsid w:val="00FF2770"/>
    <w:rsid w:val="00FF34B6"/>
    <w:rsid w:val="00FF3C75"/>
    <w:rsid w:val="00FF43C7"/>
    <w:rsid w:val="00FF50F9"/>
    <w:rsid w:val="00FF51DC"/>
    <w:rsid w:val="00FF5384"/>
    <w:rsid w:val="00FF60F7"/>
    <w:rsid w:val="00FF6C52"/>
    <w:rsid w:val="00FF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BCB346"/>
  <w15:chartTrackingRefBased/>
  <w15:docId w15:val="{2ACB87B0-8767-4E38-A8B6-0DDCD3501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ADD"/>
    <w:pPr>
      <w:widowControl w:val="0"/>
      <w:overflowPunct w:val="1"/>
      <w:spacing w:line="312" w:lineRule="auto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2A6C26"/>
    <w:pPr>
      <w:keepNext/>
      <w:keepLines/>
      <w:spacing w:before="240" w:after="120"/>
      <w:jc w:val="left"/>
      <w:outlineLvl w:val="0"/>
    </w:pPr>
    <w:rPr>
      <w:rFonts w:ascii="Arial" w:eastAsia="黑体" w:hAnsi="Arial"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A6C26"/>
    <w:pPr>
      <w:keepNext/>
      <w:keepLines/>
      <w:spacing w:before="120" w:after="120"/>
      <w:outlineLvl w:val="1"/>
    </w:pPr>
    <w:rPr>
      <w:rFonts w:ascii="Arial" w:eastAsia="黑体" w:hAnsi="Arial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A6C26"/>
    <w:pPr>
      <w:keepNext/>
      <w:keepLines/>
      <w:spacing w:before="120" w:after="60"/>
      <w:jc w:val="left"/>
      <w:outlineLvl w:val="2"/>
    </w:pPr>
    <w:rPr>
      <w:rFonts w:ascii="Arial" w:eastAsia="黑体" w:hAnsi="Arial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12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12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12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124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A6C26"/>
    <w:rPr>
      <w:rFonts w:ascii="Arial" w:eastAsia="黑体" w:hAnsi="Arial"/>
      <w:bCs/>
      <w:kern w:val="44"/>
      <w:sz w:val="30"/>
      <w:szCs w:val="44"/>
    </w:rPr>
  </w:style>
  <w:style w:type="paragraph" w:styleId="a7">
    <w:name w:val="List Paragraph"/>
    <w:basedOn w:val="a"/>
    <w:uiPriority w:val="34"/>
    <w:qFormat/>
    <w:rsid w:val="006A70D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2A6C26"/>
    <w:rPr>
      <w:rFonts w:ascii="Arial" w:eastAsia="黑体" w:hAnsi="Arial" w:cstheme="majorBidi"/>
      <w:bCs/>
      <w:sz w:val="28"/>
      <w:szCs w:val="32"/>
    </w:rPr>
  </w:style>
  <w:style w:type="paragraph" w:styleId="a8">
    <w:name w:val="Title"/>
    <w:basedOn w:val="a"/>
    <w:next w:val="a"/>
    <w:link w:val="a9"/>
    <w:uiPriority w:val="10"/>
    <w:qFormat/>
    <w:rsid w:val="002A6C26"/>
    <w:pPr>
      <w:spacing w:before="120" w:after="60"/>
      <w:jc w:val="center"/>
      <w:outlineLvl w:val="0"/>
    </w:pPr>
    <w:rPr>
      <w:rFonts w:ascii="Arial" w:eastAsia="黑体" w:hAnsi="Arial" w:cstheme="majorBidi"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2A6C26"/>
    <w:rPr>
      <w:rFonts w:ascii="Arial" w:eastAsia="黑体" w:hAnsi="Arial" w:cstheme="majorBidi"/>
      <w:bCs/>
      <w:sz w:val="32"/>
      <w:szCs w:val="32"/>
    </w:rPr>
  </w:style>
  <w:style w:type="paragraph" w:styleId="aa">
    <w:name w:val="Subtitle"/>
    <w:basedOn w:val="a"/>
    <w:next w:val="a"/>
    <w:link w:val="ab"/>
    <w:uiPriority w:val="11"/>
    <w:qFormat/>
    <w:rsid w:val="002F635A"/>
    <w:pPr>
      <w:spacing w:before="120" w:after="60"/>
      <w:jc w:val="left"/>
      <w:outlineLvl w:val="0"/>
    </w:pPr>
    <w:rPr>
      <w:rFonts w:ascii="Arial" w:eastAsia="黑体" w:hAnsi="Arial"/>
      <w:bCs/>
      <w:kern w:val="28"/>
      <w:sz w:val="24"/>
      <w:szCs w:val="32"/>
    </w:rPr>
  </w:style>
  <w:style w:type="character" w:customStyle="1" w:styleId="ab">
    <w:name w:val="副标题 字符"/>
    <w:basedOn w:val="a0"/>
    <w:link w:val="aa"/>
    <w:uiPriority w:val="11"/>
    <w:rsid w:val="002F635A"/>
    <w:rPr>
      <w:rFonts w:ascii="Arial" w:eastAsia="黑体" w:hAnsi="Arial"/>
      <w:bCs/>
      <w:kern w:val="28"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2A6C26"/>
    <w:rPr>
      <w:rFonts w:ascii="Arial" w:eastAsia="黑体" w:hAnsi="Arial"/>
      <w:bCs/>
      <w:sz w:val="24"/>
      <w:szCs w:val="32"/>
    </w:rPr>
  </w:style>
  <w:style w:type="character" w:styleId="ac">
    <w:name w:val="Hyperlink"/>
    <w:basedOn w:val="a0"/>
    <w:uiPriority w:val="99"/>
    <w:unhideWhenUsed/>
    <w:rsid w:val="00275E49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275E49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914DA8"/>
    <w:rPr>
      <w:color w:val="808080"/>
    </w:rPr>
  </w:style>
  <w:style w:type="table" w:styleId="ae">
    <w:name w:val="Table Grid"/>
    <w:basedOn w:val="a1"/>
    <w:uiPriority w:val="39"/>
    <w:rsid w:val="00D93E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9343E2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9343E2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9343E2"/>
    <w:rPr>
      <w:rFonts w:ascii="Times New Roman" w:eastAsia="宋体" w:hAnsi="Times New Roman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9343E2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9343E2"/>
    <w:rPr>
      <w:rFonts w:ascii="Times New Roman" w:eastAsia="宋体" w:hAnsi="Times New Roman"/>
      <w:b/>
      <w:bCs/>
    </w:rPr>
  </w:style>
  <w:style w:type="paragraph" w:styleId="af4">
    <w:name w:val="Balloon Text"/>
    <w:basedOn w:val="a"/>
    <w:link w:val="af5"/>
    <w:uiPriority w:val="99"/>
    <w:semiHidden/>
    <w:unhideWhenUsed/>
    <w:rsid w:val="009343E2"/>
    <w:pPr>
      <w:spacing w:line="240" w:lineRule="auto"/>
    </w:pPr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9343E2"/>
    <w:rPr>
      <w:rFonts w:ascii="Times New Roman" w:eastAsia="宋体" w:hAnsi="Times New Roman"/>
      <w:sz w:val="18"/>
      <w:szCs w:val="18"/>
    </w:rPr>
  </w:style>
  <w:style w:type="paragraph" w:styleId="af6">
    <w:name w:val="Revision"/>
    <w:hidden/>
    <w:uiPriority w:val="99"/>
    <w:semiHidden/>
    <w:rsid w:val="009A59FF"/>
    <w:rPr>
      <w:rFonts w:ascii="Times New Roman" w:eastAsia="宋体" w:hAnsi="Times New Roman"/>
    </w:rPr>
  </w:style>
  <w:style w:type="character" w:customStyle="1" w:styleId="21">
    <w:name w:val="未处理的提及2"/>
    <w:basedOn w:val="a0"/>
    <w:uiPriority w:val="99"/>
    <w:semiHidden/>
    <w:unhideWhenUsed/>
    <w:rsid w:val="009F2C3D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100AC2"/>
    <w:rPr>
      <w:color w:val="605E5C"/>
      <w:shd w:val="clear" w:color="auto" w:fill="E1DFDD"/>
    </w:rPr>
  </w:style>
  <w:style w:type="character" w:styleId="af7">
    <w:name w:val="line number"/>
    <w:basedOn w:val="a0"/>
    <w:uiPriority w:val="99"/>
    <w:semiHidden/>
    <w:unhideWhenUsed/>
    <w:rsid w:val="00540C00"/>
  </w:style>
  <w:style w:type="character" w:styleId="af8">
    <w:name w:val="Emphasis"/>
    <w:basedOn w:val="a0"/>
    <w:uiPriority w:val="20"/>
    <w:qFormat/>
    <w:rsid w:val="009A6B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5" Type="http://schemas.openxmlformats.org/officeDocument/2006/relationships/webSettings" Target="webSettings.xml"/><Relationship Id="rId3" Type="http://schemas.openxmlformats.org/officeDocument/2006/relationships/styles" Target="styles.xml"/><Relationship Id="rId62" Type="http://schemas.openxmlformats.org/officeDocument/2006/relationships/header" Target="header1.xml"/><Relationship Id="rId70" Type="http://schemas.openxmlformats.org/officeDocument/2006/relationships/fontTable" Target="fontTable.xml"/><Relationship Id="rId6" Type="http://schemas.openxmlformats.org/officeDocument/2006/relationships/footnotes" Target="footnotes.xml"/><Relationship Id="rId4" Type="http://schemas.openxmlformats.org/officeDocument/2006/relationships/settings" Target="settings.xml"/><Relationship Id="rId1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</cp:coreProperties>
</file>