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dge-node-red"/>
    <w:p>
      <w:pPr>
        <w:pStyle w:val="Heading1"/>
      </w:pPr>
      <w:r>
        <w:t xml:space="preserve">Edge Node-RED</w:t>
      </w:r>
    </w:p>
    <w:bookmarkStart w:id="9" w:name="resume-executif"/>
    <w:p>
      <w:pPr>
        <w:pStyle w:val="Heading2"/>
      </w:pPr>
      <w:r>
        <w:t xml:space="preserve">Resume executif</w:t>
      </w:r>
    </w:p>
    <w:p>
      <w:pPr>
        <w:pStyle w:val="FirstParagraph"/>
      </w:pPr>
      <w:r>
        <w:t xml:space="preserve">Ce document formalise le comportement de reference du pipeline Node-RED execute en edge sur gateway. Le pipeline remplit trois fonctions critiques: transformer des uplinks heterogenes en structures homogenes, reconstruire des snapshots coherents par equipement, et maintenir la continuite de transmission vers le backend en cas d’aleas reseau.</w:t>
      </w:r>
    </w:p>
    <w:bookmarkEnd w:id="9"/>
    <w:bookmarkStart w:id="10" w:name="objectif-et-perimetre"/>
    <w:p>
      <w:pPr>
        <w:pStyle w:val="Heading2"/>
      </w:pPr>
      <w:r>
        <w:t xml:space="preserve">1. Objectif et perimetre</w:t>
      </w:r>
    </w:p>
    <w:p>
      <w:pPr>
        <w:pStyle w:val="FirstParagraph"/>
      </w:pPr>
      <w:r>
        <w:t xml:space="preserve">Le perimetre couvre exclusivement la couche edge:</w:t>
      </w:r>
      <w:r>
        <w:t xml:space="preserve"> </w:t>
      </w:r>
      <w:r>
        <w:t xml:space="preserve">1. reception uplink;</w:t>
      </w:r>
      <w:r>
        <w:t xml:space="preserve"> </w:t>
      </w:r>
      <w:r>
        <w:t xml:space="preserve">2. normalisation du message;</w:t>
      </w:r>
      <w:r>
        <w:t xml:space="preserve"> </w:t>
      </w:r>
      <w:r>
        <w:t xml:space="preserve">3. fusion incremental par</w:t>
      </w:r>
      <w:r>
        <w:t xml:space="preserve"> </w:t>
      </w:r>
      <w:r>
        <w:rPr>
          <w:rStyle w:val="VerbatimChar"/>
        </w:rPr>
        <w:t xml:space="preserve">devEUI</w:t>
      </w:r>
      <w:r>
        <w:t xml:space="preserve">;</w:t>
      </w:r>
      <w:r>
        <w:t xml:space="preserve"> </w:t>
      </w:r>
      <w:r>
        <w:t xml:space="preserve">4. emission batch toutes les 10 minutes;</w:t>
      </w:r>
      <w:r>
        <w:t xml:space="preserve"> </w:t>
      </w:r>
      <w:r>
        <w:t xml:space="preserve">5. reprise sur erreur via queue locale et retries periodiques.</w:t>
      </w:r>
    </w:p>
    <w:p>
      <w:pPr>
        <w:pStyle w:val="BodyText"/>
      </w:pPr>
      <w:r>
        <w:t xml:space="preserve">Sont explicitement exclus:</w:t>
      </w:r>
      <w:r>
        <w:t xml:space="preserve"> </w:t>
      </w:r>
      <w:r>
        <w:t xml:space="preserve">1. persistence backend;</w:t>
      </w:r>
      <w:r>
        <w:t xml:space="preserve"> </w:t>
      </w:r>
      <w:r>
        <w:t xml:space="preserve">2. agregations workers;</w:t>
      </w:r>
      <w:r>
        <w:t xml:space="preserve"> </w:t>
      </w:r>
      <w:r>
        <w:t xml:space="preserve">3. restitution applicative front-end.</w:t>
      </w:r>
    </w:p>
    <w:bookmarkEnd w:id="10"/>
    <w:bookmarkStart w:id="14" w:name="architecture-fonctionnelle-edge"/>
    <w:p>
      <w:pPr>
        <w:pStyle w:val="Heading2"/>
      </w:pPr>
      <w:r>
        <w:t xml:space="preserve">2. Architecture fonctionnelle edge</w:t>
      </w:r>
    </w:p>
    <w:p>
      <w:pPr>
        <w:pStyle w:val="CaptionedFigure"/>
      </w:pPr>
      <w:r>
        <w:drawing>
          <wp:inline>
            <wp:extent cx="5334000" cy="26263302"/>
            <wp:effectExtent b="0" l="0" r="0" t="0"/>
            <wp:docPr descr="Schema 1" title="" id="12" name="Picture"/>
            <a:graphic>
              <a:graphicData uri="http://schemas.openxmlformats.org/drawingml/2006/picture">
                <pic:pic>
                  <pic:nvPicPr>
                    <pic:cNvPr descr="./Rapport_Edge_NodeRED_Traitement_et_Resilience_assets_hq/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 1</w:t>
      </w:r>
    </w:p>
    <w:bookmarkEnd w:id="14"/>
    <w:bookmarkStart w:id="18" w:name="contrat-de-donnees-interne"/>
    <w:p>
      <w:pPr>
        <w:pStyle w:val="Heading2"/>
      </w:pPr>
      <w:r>
        <w:t xml:space="preserve">3. Contrat de donnees interne</w:t>
      </w:r>
    </w:p>
    <w:bookmarkStart w:id="15" w:name="message-normalise"/>
    <w:p>
      <w:pPr>
        <w:pStyle w:val="Heading3"/>
      </w:pPr>
      <w:r>
        <w:t xml:space="preserve">3.1 Message normalise</w:t>
      </w:r>
    </w:p>
    <w:p>
      <w:pPr>
        <w:pStyle w:val="FirstParagraph"/>
      </w:pPr>
      <w:r>
        <w:t xml:space="preserve">Concretement, chaque uplink est transforme en objet canonical:</w:t>
      </w:r>
      <w:r>
        <w:t xml:space="preserve"> </w:t>
      </w:r>
      <w:r>
        <w:t xml:space="preserve">1. identifiant equipement (</w:t>
      </w:r>
      <w:r>
        <w:rPr>
          <w:rStyle w:val="VerbatimChar"/>
        </w:rPr>
        <w:t xml:space="preserve">devEUI</w:t>
      </w:r>
      <w:r>
        <w:t xml:space="preserve">);</w:t>
      </w:r>
      <w:r>
        <w:t xml:space="preserve"> </w:t>
      </w:r>
      <w:r>
        <w:t xml:space="preserve">2. horodatage de reception;</w:t>
      </w:r>
      <w:r>
        <w:t xml:space="preserve"> </w:t>
      </w:r>
      <w:r>
        <w:t xml:space="preserve">3. metadonnees radio (</w:t>
      </w:r>
      <w:r>
        <w:rPr>
          <w:rStyle w:val="VerbatimChar"/>
        </w:rPr>
        <w:t xml:space="preserve">rssi</w:t>
      </w:r>
      <w:r>
        <w:t xml:space="preserve">,</w:t>
      </w:r>
      <w:r>
        <w:t xml:space="preserve"> </w:t>
      </w:r>
      <w:r>
        <w:rPr>
          <w:rStyle w:val="VerbatimChar"/>
        </w:rPr>
        <w:t xml:space="preserve">snr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fcnt</w:t>
      </w:r>
      <w:r>
        <w:t xml:space="preserve">,</w:t>
      </w:r>
      <w:r>
        <w:t xml:space="preserve"> </w:t>
      </w:r>
      <w:r>
        <w:rPr>
          <w:rStyle w:val="VerbatimChar"/>
        </w:rPr>
        <w:t xml:space="preserve">fport</w:t>
      </w:r>
      <w:r>
        <w:t xml:space="preserve">);</w:t>
      </w:r>
      <w:r>
        <w:t xml:space="preserve"> </w:t>
      </w:r>
      <w:r>
        <w:t xml:space="preserve">4. charge utile metrique (</w:t>
      </w:r>
      <w:r>
        <w:rPr>
          <w:rStyle w:val="VerbatimChar"/>
        </w:rPr>
        <w:t xml:space="preserve">data</w:t>
      </w:r>
      <w:r>
        <w:t xml:space="preserve">).</w:t>
      </w:r>
    </w:p>
    <w:bookmarkEnd w:id="15"/>
    <w:bookmarkStart w:id="16" w:name="etat-fusionne-par-equipement"/>
    <w:p>
      <w:pPr>
        <w:pStyle w:val="Heading3"/>
      </w:pPr>
      <w:r>
        <w:t xml:space="preserve">3.2 Etat fusionne par equipement</w:t>
      </w:r>
    </w:p>
    <w:p>
      <w:pPr>
        <w:pStyle w:val="FirstParagraph"/>
      </w:pPr>
      <w:r>
        <w:rPr>
          <w:rStyle w:val="VerbatimChar"/>
        </w:rPr>
        <w:t xml:space="preserve">flow.states[devEUI]</w:t>
      </w:r>
      <w:r>
        <w:t xml:space="preserve"> </w:t>
      </w:r>
      <w:r>
        <w:t xml:space="preserve">contient: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data</w:t>
      </w:r>
      <w:r>
        <w:t xml:space="preserve">: dernieres valeurs connues par cle metrique;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meta</w:t>
      </w:r>
      <w:r>
        <w:t xml:space="preserve">: informations de contexte (</w:t>
      </w:r>
      <w:r>
        <w:rPr>
          <w:rStyle w:val="VerbatimChar"/>
        </w:rPr>
        <w:t xml:space="preserve">lastSeen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gatewayId</w:t>
      </w:r>
      <w:r>
        <w:t xml:space="preserve">);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: dernier etat radio disponible.</w:t>
      </w:r>
    </w:p>
    <w:p>
      <w:pPr>
        <w:pStyle w:val="BodyText"/>
      </w:pPr>
      <w:r>
        <w:t xml:space="preserve">Invariance fonctionnelle: chaque champ 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peut etre mis a jour independamment, sans ecraser les autres mesures deja collectees.</w:t>
      </w:r>
    </w:p>
    <w:bookmarkEnd w:id="16"/>
    <w:bookmarkStart w:id="17" w:name="contrat-batch-sortant"/>
    <w:p>
      <w:pPr>
        <w:pStyle w:val="Heading3"/>
      </w:pPr>
      <w:r>
        <w:t xml:space="preserve">3.3 Contrat batch sortant</w:t>
      </w:r>
    </w:p>
    <w:p>
      <w:pPr>
        <w:pStyle w:val="FirstParagraph"/>
      </w:pPr>
      <w:r>
        <w:t xml:space="preserve">Le batch transmis doit contenir:</w:t>
      </w:r>
      <w:r>
        <w:t xml:space="preserve"> </w:t>
      </w:r>
      <w:r>
        <w:t xml:space="preserve">1. metadonnees de fenetre (</w:t>
      </w:r>
      <w:r>
        <w:rPr>
          <w:rStyle w:val="VerbatimChar"/>
        </w:rPr>
        <w:t xml:space="preserve">ts_batch_start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ts_batch_end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window_sec</w:t>
      </w:r>
      <w:r>
        <w:t xml:space="preserve">);</w:t>
      </w:r>
      <w:r>
        <w:t xml:space="preserve"> </w:t>
      </w:r>
      <w:r>
        <w:t xml:space="preserve">2. identifiant de gateway;</w:t>
      </w:r>
      <w:r>
        <w:t xml:space="preserve"> </w:t>
      </w:r>
      <w:r>
        <w:t xml:space="preserve">3. tableau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avec snapshot par</w:t>
      </w:r>
      <w:r>
        <w:t xml:space="preserve"> </w:t>
      </w:r>
      <w:r>
        <w:rPr>
          <w:rStyle w:val="VerbatimChar"/>
        </w:rPr>
        <w:t xml:space="preserve">devEUI</w:t>
      </w:r>
      <w:r>
        <w:t xml:space="preserve">.</w:t>
      </w:r>
    </w:p>
    <w:bookmarkEnd w:id="17"/>
    <w:bookmarkEnd w:id="18"/>
    <w:bookmarkStart w:id="19" w:name="mecanisme-de-fusion-multi-paquets"/>
    <w:p>
      <w:pPr>
        <w:pStyle w:val="Heading2"/>
      </w:pPr>
      <w:r>
        <w:t xml:space="preserve">4. Mecanisme de fusion multi-paquets</w:t>
      </w:r>
    </w:p>
    <w:p>
      <w:pPr>
        <w:pStyle w:val="FirstParagraph"/>
      </w:pPr>
      <w:r>
        <w:t xml:space="preserve">Les compteurs peuvent emettre des trames fragmentaires. Le mecanisme de fusion applique donc:</w:t>
      </w:r>
      <w:r>
        <w:t xml:space="preserve"> </w:t>
      </w:r>
      <w:r>
        <w:t xml:space="preserve">1. une cle de consolidation unique par</w:t>
      </w:r>
      <w:r>
        <w:t xml:space="preserve"> </w:t>
      </w:r>
      <w:r>
        <w:rPr>
          <w:rStyle w:val="VerbatimChar"/>
        </w:rPr>
        <w:t xml:space="preserve">devEUI</w:t>
      </w:r>
      <w:r>
        <w:t xml:space="preserve">;</w:t>
      </w:r>
      <w:r>
        <w:t xml:space="preserve"> </w:t>
      </w:r>
      <w:r>
        <w:t xml:space="preserve">2. une union de champs metriques au fil des uplinks;</w:t>
      </w:r>
      <w:r>
        <w:t xml:space="preserve"> </w:t>
      </w:r>
      <w:r>
        <w:t xml:space="preserve">3. une conservation des dernieres metadonnees radio recues.</w:t>
      </w:r>
    </w:p>
    <w:p>
      <w:pPr>
        <w:pStyle w:val="BodyText"/>
      </w:pPr>
      <w:r>
        <w:t xml:space="preserve">Cette approche reduit le risque de snapshots incomplets au moment du batching.</w:t>
      </w:r>
    </w:p>
    <w:bookmarkEnd w:id="19"/>
    <w:bookmarkStart w:id="23" w:name="mecanisme-de-resilience-et-reprise"/>
    <w:p>
      <w:pPr>
        <w:pStyle w:val="Heading2"/>
      </w:pPr>
      <w:r>
        <w:t xml:space="preserve">5. Mecanisme de resilience et reprise</w:t>
      </w:r>
    </w:p>
    <w:bookmarkStart w:id="20" w:name="strategie-de-retry"/>
    <w:p>
      <w:pPr>
        <w:pStyle w:val="Heading3"/>
      </w:pPr>
      <w:r>
        <w:t xml:space="preserve">5.1 Strategie de retry</w:t>
      </w:r>
    </w:p>
    <w:p>
      <w:pPr>
        <w:pStyle w:val="Compact"/>
        <w:numPr>
          <w:ilvl w:val="0"/>
          <w:numId w:val="1001"/>
        </w:numPr>
      </w:pPr>
      <w:r>
        <w:t xml:space="preserve">tout echec HTTP non-2xx provoque un</w:t>
      </w:r>
      <w:r>
        <w:t xml:space="preserve"> </w:t>
      </w:r>
      <w:r>
        <w:rPr>
          <w:rStyle w:val="VerbatimChar"/>
        </w:rPr>
        <w:t xml:space="preserve">Queue Push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la queue locale est balayee periodiquement (60 s);</w:t>
      </w:r>
    </w:p>
    <w:p>
      <w:pPr>
        <w:pStyle w:val="Compact"/>
        <w:numPr>
          <w:ilvl w:val="0"/>
          <w:numId w:val="1001"/>
        </w:numPr>
      </w:pPr>
      <w:r>
        <w:t xml:space="preserve">un succes declenche</w:t>
      </w:r>
      <w:r>
        <w:t xml:space="preserve"> </w:t>
      </w:r>
      <w:r>
        <w:rPr>
          <w:rStyle w:val="VerbatimChar"/>
        </w:rPr>
        <w:t xml:space="preserve">Queue Commit</w:t>
      </w:r>
      <w:r>
        <w:t xml:space="preserve"> </w:t>
      </w:r>
      <w:r>
        <w:t xml:space="preserve">(dequeue).</w:t>
      </w:r>
    </w:p>
    <w:bookmarkEnd w:id="20"/>
    <w:bookmarkStart w:id="21" w:name="propriete-cible"/>
    <w:p>
      <w:pPr>
        <w:pStyle w:val="Heading3"/>
      </w:pPr>
      <w:r>
        <w:t xml:space="preserve">5.2 Propriete cible</w:t>
      </w:r>
    </w:p>
    <w:p>
      <w:pPr>
        <w:pStyle w:val="FirstParagraph"/>
      </w:pPr>
      <w:r>
        <w:t xml:space="preserve">Le design vise une livraison eventual-consistent pendant les coupures courtes, sans bloquer le pipeline de collecte.</w:t>
      </w:r>
    </w:p>
    <w:bookmarkEnd w:id="21"/>
    <w:bookmarkStart w:id="22" w:name="limite-structurelle"/>
    <w:p>
      <w:pPr>
        <w:pStyle w:val="Heading3"/>
      </w:pPr>
      <w:r>
        <w:t xml:space="preserve">5.3 Limite structurelle</w:t>
      </w:r>
    </w:p>
    <w:p>
      <w:pPr>
        <w:pStyle w:val="FirstParagraph"/>
      </w:pPr>
      <w:r>
        <w:t xml:space="preserve">Une queue en memoire reste vulnerable a un redemarrage brutal de la gateway.</w:t>
      </w:r>
    </w:p>
    <w:bookmarkEnd w:id="22"/>
    <w:bookmarkEnd w:id="23"/>
    <w:bookmarkStart w:id="24" w:name="exigences-non-fonctionnelles-edge"/>
    <w:p>
      <w:pPr>
        <w:pStyle w:val="Heading2"/>
      </w:pPr>
      <w:r>
        <w:t xml:space="preserve">6. Exigences non fonctionnelles edge</w:t>
      </w:r>
    </w:p>
    <w:p>
      <w:pPr>
        <w:pStyle w:val="Compact"/>
        <w:numPr>
          <w:ilvl w:val="0"/>
          <w:numId w:val="1002"/>
        </w:numPr>
      </w:pPr>
      <w:r>
        <w:t xml:space="preserve">reduction du volume de trafic montant par batching;</w:t>
      </w:r>
    </w:p>
    <w:p>
      <w:pPr>
        <w:pStyle w:val="Compact"/>
        <w:numPr>
          <w:ilvl w:val="0"/>
          <w:numId w:val="1002"/>
        </w:numPr>
      </w:pPr>
      <w:r>
        <w:t xml:space="preserve">stabilite de la latence de cycle sur fenetre de 10 minutes;</w:t>
      </w:r>
    </w:p>
    <w:p>
      <w:pPr>
        <w:pStyle w:val="Compact"/>
        <w:numPr>
          <w:ilvl w:val="0"/>
          <w:numId w:val="1002"/>
        </w:numPr>
      </w:pPr>
      <w:r>
        <w:t xml:space="preserve">robustesse face aux erreurs reseau intermittentes;</w:t>
      </w:r>
    </w:p>
    <w:p>
      <w:pPr>
        <w:pStyle w:val="Compact"/>
        <w:numPr>
          <w:ilvl w:val="0"/>
          <w:numId w:val="1002"/>
        </w:numPr>
      </w:pPr>
      <w:r>
        <w:t xml:space="preserve">isolation des traitements edge de la sante backend immediate.</w:t>
      </w:r>
    </w:p>
    <w:bookmarkEnd w:id="24"/>
    <w:bookmarkStart w:id="25" w:name="indicateurs-de-performance-et-de-sante"/>
    <w:p>
      <w:pPr>
        <w:pStyle w:val="Heading2"/>
      </w:pPr>
      <w:r>
        <w:t xml:space="preserve">7. Indicateurs de performance et de sante</w:t>
      </w:r>
    </w:p>
    <w:p>
      <w:pPr>
        <w:pStyle w:val="FirstParagraph"/>
      </w:pPr>
      <w:r>
        <w:t xml:space="preserve">Indicateurs recommandes:</w:t>
      </w:r>
      <w:r>
        <w:t xml:space="preserve"> </w:t>
      </w:r>
      <w:r>
        <w:t xml:space="preserve">1. taille de</w:t>
      </w:r>
      <w:r>
        <w:t xml:space="preserve"> </w:t>
      </w:r>
      <w:r>
        <w:rPr>
          <w:rStyle w:val="VerbatimChar"/>
        </w:rPr>
        <w:t xml:space="preserve">flow.queue</w:t>
      </w:r>
      <w:r>
        <w:t xml:space="preserve">;</w:t>
      </w:r>
      <w:r>
        <w:t xml:space="preserve"> </w:t>
      </w:r>
      <w:r>
        <w:t xml:space="preserve">2. age moyen des batches en attente;</w:t>
      </w:r>
      <w:r>
        <w:t xml:space="preserve"> </w:t>
      </w:r>
      <w:r>
        <w:t xml:space="preserve">3. taux de succes HTTP par fenetre;</w:t>
      </w:r>
      <w:r>
        <w:t xml:space="preserve"> </w:t>
      </w:r>
      <w:r>
        <w:t xml:space="preserve">4. temps moyen entre reception uplink et emission batch;</w:t>
      </w:r>
      <w:r>
        <w:t xml:space="preserve"> </w:t>
      </w:r>
      <w:r>
        <w:t xml:space="preserve">5. nombre de devices actifs par fenetre.</w:t>
      </w:r>
    </w:p>
    <w:bookmarkEnd w:id="25"/>
    <w:bookmarkStart w:id="29" w:name="plan-de-durcissement-recommande"/>
    <w:p>
      <w:pPr>
        <w:pStyle w:val="Heading2"/>
      </w:pPr>
      <w:r>
        <w:t xml:space="preserve">8. Plan de durcissement recommande</w:t>
      </w:r>
    </w:p>
    <w:p>
      <w:pPr>
        <w:pStyle w:val="Compact"/>
        <w:numPr>
          <w:ilvl w:val="0"/>
          <w:numId w:val="1003"/>
        </w:numPr>
      </w:pPr>
      <w:r>
        <w:t xml:space="preserve">persistance locale de queue (fichier/SQLite) pour reprise post-reboot;</w:t>
      </w:r>
    </w:p>
    <w:p>
      <w:pPr>
        <w:pStyle w:val="Compact"/>
        <w:numPr>
          <w:ilvl w:val="0"/>
          <w:numId w:val="1003"/>
        </w:numPr>
      </w:pPr>
      <w:r>
        <w:t xml:space="preserve">endpoint health edge explicitant etat states/queue;</w:t>
      </w:r>
    </w:p>
    <w:p>
      <w:pPr>
        <w:pStyle w:val="Compact"/>
        <w:numPr>
          <w:ilvl w:val="0"/>
          <w:numId w:val="1003"/>
        </w:numPr>
      </w:pPr>
      <w:r>
        <w:t xml:space="preserve">mecanisme de backoff progressif pour eviter tempete de retries;</w:t>
      </w:r>
    </w:p>
    <w:p>
      <w:pPr>
        <w:pStyle w:val="Compact"/>
        <w:numPr>
          <w:ilvl w:val="0"/>
          <w:numId w:val="1003"/>
        </w:numPr>
      </w:pPr>
      <w:r>
        <w:t xml:space="preserve">seuil d’alerte sur queue vieillissante.</w:t>
      </w:r>
    </w:p>
    <w:p>
      <w:pPr>
        <w:pStyle w:val="CaptionedFigure"/>
      </w:pPr>
      <w:r>
        <w:drawing>
          <wp:inline>
            <wp:extent cx="5334000" cy="10668000"/>
            <wp:effectExtent b="0" l="0" r="0" t="0"/>
            <wp:docPr descr="Schema 2" title="" id="27" name="Picture"/>
            <a:graphic>
              <a:graphicData uri="http://schemas.openxmlformats.org/drawingml/2006/picture">
                <pic:pic>
                  <pic:nvPicPr>
                    <pic:cNvPr descr="./Rapport_Edge_NodeRED_Traitement_et_Resilience_assets_hq/diagram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 2</w:t>
      </w:r>
    </w:p>
    <w:bookmarkEnd w:id="29"/>
    <w:bookmarkStart w:id="30" w:name="criteres-dacceptation-technique"/>
    <w:p>
      <w:pPr>
        <w:pStyle w:val="Heading2"/>
      </w:pPr>
      <w:r>
        <w:t xml:space="preserve">9. Criteres d’acceptation technique</w:t>
      </w:r>
    </w:p>
    <w:p>
      <w:pPr>
        <w:pStyle w:val="Compact"/>
        <w:numPr>
          <w:ilvl w:val="0"/>
          <w:numId w:val="1004"/>
        </w:numPr>
      </w:pPr>
      <w:r>
        <w:t xml:space="preserve">un uplink valide produit un enrichissement de</w:t>
      </w:r>
      <w:r>
        <w:t xml:space="preserve"> </w:t>
      </w:r>
      <w:r>
        <w:rPr>
          <w:rStyle w:val="VerbatimChar"/>
        </w:rPr>
        <w:t xml:space="preserve">flow.states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un batch est emis a periodicite ciblee avec structure conforme;</w:t>
      </w:r>
    </w:p>
    <w:p>
      <w:pPr>
        <w:pStyle w:val="Compact"/>
        <w:numPr>
          <w:ilvl w:val="0"/>
          <w:numId w:val="1004"/>
        </w:numPr>
      </w:pPr>
      <w:r>
        <w:t xml:space="preserve">un echec d’envoi place bien l’objet en queue;</w:t>
      </w:r>
    </w:p>
    <w:p>
      <w:pPr>
        <w:pStyle w:val="Compact"/>
        <w:numPr>
          <w:ilvl w:val="0"/>
          <w:numId w:val="1004"/>
        </w:numPr>
      </w:pPr>
      <w:r>
        <w:t xml:space="preserve">un succes ulterieur retire l’objet de la queue;</w:t>
      </w:r>
    </w:p>
    <w:p>
      <w:pPr>
        <w:pStyle w:val="Compact"/>
        <w:numPr>
          <w:ilvl w:val="0"/>
          <w:numId w:val="1004"/>
        </w:numPr>
      </w:pPr>
      <w:r>
        <w:t xml:space="preserve">la pipeline reste active pendant les erreurs backend temporaires.</w:t>
      </w:r>
    </w:p>
    <w:bookmarkEnd w:id="30"/>
    <w:bookmarkStart w:id="31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La couche Edge Node-RED constitue le premier mecanisme de fiabilisation de la chaine de donnees energetiques. Sa valeur operationnelle depend de la qualite de la fusion multi-paquets et de la robustesse de la reprise. Le passage a une persistance locale de queue reste la priorite technique majeure pour franchir un palier de resilience.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2026-03-19T18:50:17Z</dcterms:created>
  <dcterms:modified xsi:type="dcterms:W3CDTF">2026-03-19T18:50:17Z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