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7D2" w:rsidRDefault="00D95486" w:rsidP="002E0E23"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>ТРЕБОВАНИЯ К SSD-НАКОПИТЕЛЯМ</w:t>
      </w:r>
    </w:p>
    <w:p w:rsidR="006337D2" w:rsidRDefault="00D95486" w:rsidP="002E0E23">
      <w:pPr>
        <w:spacing w:before="120" w:after="100" w:line="360" w:lineRule="auto"/>
      </w:pPr>
      <w:r>
        <w:rPr>
          <w:b/>
          <w:bCs/>
          <w:sz w:val="28"/>
          <w:szCs w:val="28"/>
        </w:rPr>
        <w:t>1. Сегменты и следствия из задач подразделений</w:t>
      </w:r>
    </w:p>
    <w:tbl>
      <w:tblPr>
        <w:tblW w:w="935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1100"/>
        <w:gridCol w:w="3400"/>
        <w:gridCol w:w="3250"/>
      </w:tblGrid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Подразделение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SSD, ГБ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Задачи → следствия для ПК/сервера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Требования к SSD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Бухгалтерия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240–256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Word + 1С → офисный ПК. Интегрированная графика, 8–16 ГБ ОЗУ, процессор среднего уровня. Главное — стабильность.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Надёжность, низкое энергопотребление, SATA или базовый NVMe. Совместимость с Windows и 1С.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Отдел разработки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480–512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Код, контейнеры, СУБД → рабочая станция. Многоядерный CPU, 32+ ГБ ОЗУ, быстрый диск.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Высокий IOPS, низкая latency. Предпочтителен NVMe. Совместимость с Linux и Docker.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Отдел дизайна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960–1024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Графика, видео, макеты → упор на дискретную видеокарту, 32–64 ГБ</w:t>
            </w:r>
            <w:r w:rsidRPr="00587FEC">
              <w:rPr>
                <w:sz w:val="18"/>
                <w:szCs w:val="18"/>
              </w:rPr>
              <w:t xml:space="preserve"> ОЗУ, мощный CPU. Диск ёмкий.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Большая ёмкость + скорость последовательного чтения/записи. NVMe. Совместимость с графическим ПО.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Серверный сегмент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1920–2048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ВМ + базы данных → серверная платформа. RAID, ECC-память, удалённое управление.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Enterprise-класс, высокий DWPD, поддержка RAID и hot-plug. Совместимость с гипервизорами.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Архивный сервер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b/>
                <w:bCs/>
                <w:sz w:val="18"/>
                <w:szCs w:val="18"/>
              </w:rPr>
              <w:t>3840–4096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Долговременное хранение → сервер хранения. Минимум вычислений, максимум ёмкости, работа 24/7.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Максимальная ёмкость, низкое энергопотреблени</w:t>
            </w:r>
            <w:r w:rsidRPr="00587FEC">
              <w:rPr>
                <w:sz w:val="18"/>
                <w:szCs w:val="18"/>
              </w:rPr>
              <w:t>е, поддержка TRIM и систем архивирования.</w:t>
            </w:r>
          </w:p>
        </w:tc>
      </w:tr>
    </w:tbl>
    <w:p w:rsidR="006337D2" w:rsidRDefault="00D95486" w:rsidP="002E0E23">
      <w:pPr>
        <w:spacing w:before="240" w:after="100" w:line="360" w:lineRule="auto"/>
      </w:pPr>
      <w:r>
        <w:rPr>
          <w:b/>
          <w:bCs/>
          <w:sz w:val="28"/>
          <w:szCs w:val="28"/>
        </w:rPr>
        <w:t>2. Внешние системы и параметры унификации</w:t>
      </w:r>
    </w:p>
    <w:tbl>
      <w:tblPr>
        <w:tblW w:w="935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00"/>
        <w:gridCol w:w="3000"/>
        <w:gridCol w:w="3000"/>
        <w:gridCol w:w="2850"/>
      </w:tblGrid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Внешняя система / компонент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Параметр унификации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587FEC">
              <w:rPr>
                <w:b/>
                <w:bCs/>
                <w:sz w:val="20"/>
                <w:szCs w:val="20"/>
              </w:rPr>
              <w:t>Цель унификации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Интерфейсы (SATA 3.0 / NVMe PCIe 3.0–4.0)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Тип интерфейса + разъём (2,5″ / M.2)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Единый набор для всех сегментов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Материнские платы и RAID-контроллеры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Форм-фактор + режим AHCI/NVMe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Установка без адаптеров; единый табель моделей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ОС (Windows / Linux) и драйверы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Драйверы, файловые системы, SMART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Единые скрипты мониторинга и обновлений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  <w:lang w:val="en-US"/>
              </w:rPr>
            </w:pPr>
            <w:r w:rsidRPr="00587FEC">
              <w:rPr>
                <w:sz w:val="18"/>
                <w:szCs w:val="18"/>
              </w:rPr>
              <w:t>Виртуализация</w:t>
            </w:r>
            <w:r w:rsidRPr="00587FEC">
              <w:rPr>
                <w:sz w:val="18"/>
                <w:szCs w:val="18"/>
                <w:lang w:val="en-US"/>
              </w:rPr>
              <w:t xml:space="preserve"> (VMware, Hyper-V, Proxmox)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  <w:lang w:val="en-US"/>
              </w:rPr>
            </w:pPr>
            <w:r w:rsidRPr="00587FEC">
              <w:rPr>
                <w:sz w:val="18"/>
                <w:szCs w:val="18"/>
              </w:rPr>
              <w:t>Поддержка</w:t>
            </w:r>
            <w:r w:rsidRPr="00587FEC">
              <w:rPr>
                <w:sz w:val="18"/>
                <w:szCs w:val="18"/>
                <w:lang w:val="en-US"/>
              </w:rPr>
              <w:t xml:space="preserve"> vDisk, thin/thick, passthrough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Одни модели для физ. серверов и ВМ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Резервное копирование (Veeam и др.)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  <w:lang w:val="en-US"/>
              </w:rPr>
            </w:pPr>
            <w:r w:rsidRPr="00587FEC">
              <w:rPr>
                <w:sz w:val="18"/>
                <w:szCs w:val="18"/>
                <w:lang w:val="en-US"/>
              </w:rPr>
              <w:t>TRIM/UNMAP, Secure Erase, CBT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Единая политика бэкапов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Мониторинг (Zabbix, Prometheus)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Набор и формат SMART / NVMe-MI метрик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Единый альбом отчётов по состоянию</w:t>
            </w:r>
          </w:p>
        </w:tc>
      </w:tr>
      <w:tr w:rsidR="006337D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СУБД и контейнеры (PostgreSQL, Docker, K8s)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IOPS, latency, прямой доступ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6337D2" w:rsidRPr="00587FEC" w:rsidRDefault="00D95486" w:rsidP="002E0E23">
            <w:pPr>
              <w:spacing w:line="360" w:lineRule="auto"/>
              <w:rPr>
                <w:sz w:val="18"/>
                <w:szCs w:val="18"/>
              </w:rPr>
            </w:pPr>
            <w:r w:rsidRPr="00587FEC">
              <w:rPr>
                <w:sz w:val="18"/>
                <w:szCs w:val="18"/>
              </w:rPr>
              <w:t>Предсказуемая скорость для кода и БД</w:t>
            </w:r>
          </w:p>
        </w:tc>
      </w:tr>
    </w:tbl>
    <w:p w:rsidR="006337D2" w:rsidRDefault="00D95486" w:rsidP="002E0E23">
      <w:pPr>
        <w:spacing w:before="240" w:after="100" w:line="360" w:lineRule="auto"/>
      </w:pPr>
      <w:r>
        <w:rPr>
          <w:b/>
          <w:bCs/>
          <w:sz w:val="28"/>
          <w:szCs w:val="28"/>
        </w:rPr>
        <w:t>3. Выводы</w:t>
      </w:r>
    </w:p>
    <w:p w:rsidR="006337D2" w:rsidRDefault="00D95486" w:rsidP="002E0E23">
      <w:pPr>
        <w:spacing w:after="80" w:line="360" w:lineRule="auto"/>
        <w:jc w:val="both"/>
      </w:pPr>
      <w:r>
        <w:lastRenderedPageBreak/>
        <w:t>Бухгалтерия — офисные ПК, акцент на стабильность. Отдел дизайна — мощная видеокарта и ёмкий быстрый SSD. Отдел разработки — высокий IOPS. Серверный сегмент и архивный сервер — ent</w:t>
      </w:r>
      <w:r>
        <w:t>erprise-надёжность, совместимость с RAID-контроллерами, гипервизорами и системами резервного копирования.</w:t>
      </w:r>
    </w:p>
    <w:p w:rsidR="006337D2" w:rsidRDefault="00D95486" w:rsidP="002E0E23">
      <w:pPr>
        <w:spacing w:after="80" w:line="360" w:lineRule="auto"/>
        <w:jc w:val="both"/>
      </w:pPr>
      <w:r>
        <w:t>Унификация интерфейсов, форм-факторов, драйверов и метрик мониторинга позволяет ограничить номенклатуру закупаемых моделей, упростить учёт и снизить з</w:t>
      </w:r>
      <w:r>
        <w:t>атраты на сопровождение. Требования рекомендуется закрепить в Табеле унифицированных форм (моделей) SSD и использовать в качестве обязательных критериев при выборе поставщика.</w:t>
      </w:r>
    </w:p>
    <w:sectPr w:rsidR="006337D2" w:rsidSect="006337D2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5486" w:rsidRDefault="00D95486" w:rsidP="006337D2">
      <w:r>
        <w:separator/>
      </w:r>
    </w:p>
  </w:endnote>
  <w:endnote w:type="continuationSeparator" w:id="1">
    <w:p w:rsidR="00D95486" w:rsidRDefault="00D95486" w:rsidP="006337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7D2" w:rsidRDefault="00D95486">
    <w:pPr>
      <w:jc w:val="center"/>
    </w:pPr>
    <w:r>
      <w:rPr>
        <w:sz w:val="20"/>
        <w:szCs w:val="20"/>
      </w:rPr>
      <w:t xml:space="preserve">– </w:t>
    </w:r>
    <w:r w:rsidR="006337D2"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2E0E23">
      <w:rPr>
        <w:sz w:val="20"/>
        <w:szCs w:val="20"/>
      </w:rPr>
      <w:fldChar w:fldCharType="separate"/>
    </w:r>
    <w:r w:rsidR="00587FEC">
      <w:rPr>
        <w:noProof/>
        <w:sz w:val="20"/>
        <w:szCs w:val="20"/>
      </w:rPr>
      <w:t>1</w:t>
    </w:r>
    <w:r w:rsidR="006337D2">
      <w:rPr>
        <w:sz w:val="20"/>
        <w:szCs w:val="20"/>
      </w:rPr>
      <w:fldChar w:fldCharType="end"/>
    </w:r>
    <w:r>
      <w:rPr>
        <w:sz w:val="20"/>
        <w:szCs w:val="20"/>
      </w:rPr>
      <w:t xml:space="preserve"> –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5486" w:rsidRDefault="00D95486" w:rsidP="006337D2">
      <w:r>
        <w:separator/>
      </w:r>
    </w:p>
  </w:footnote>
  <w:footnote w:type="continuationSeparator" w:id="1">
    <w:p w:rsidR="00D95486" w:rsidRDefault="00D95486" w:rsidP="006337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37D2" w:rsidRDefault="006337D2">
    <w:pPr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72B60"/>
    <w:multiLevelType w:val="hybridMultilevel"/>
    <w:tmpl w:val="8D1E2150"/>
    <w:lvl w:ilvl="0" w:tplc="830E526C">
      <w:start w:val="1"/>
      <w:numFmt w:val="bullet"/>
      <w:lvlText w:val="●"/>
      <w:lvlJc w:val="left"/>
      <w:pPr>
        <w:ind w:left="720" w:hanging="360"/>
      </w:pPr>
    </w:lvl>
    <w:lvl w:ilvl="1" w:tplc="7B7EFD60">
      <w:start w:val="1"/>
      <w:numFmt w:val="bullet"/>
      <w:lvlText w:val="○"/>
      <w:lvlJc w:val="left"/>
      <w:pPr>
        <w:ind w:left="1440" w:hanging="360"/>
      </w:pPr>
    </w:lvl>
    <w:lvl w:ilvl="2" w:tplc="08F4D7A2">
      <w:start w:val="1"/>
      <w:numFmt w:val="bullet"/>
      <w:lvlText w:val="■"/>
      <w:lvlJc w:val="left"/>
      <w:pPr>
        <w:ind w:left="2160" w:hanging="360"/>
      </w:pPr>
    </w:lvl>
    <w:lvl w:ilvl="3" w:tplc="21D8C38A">
      <w:start w:val="1"/>
      <w:numFmt w:val="bullet"/>
      <w:lvlText w:val="●"/>
      <w:lvlJc w:val="left"/>
      <w:pPr>
        <w:ind w:left="2880" w:hanging="360"/>
      </w:pPr>
    </w:lvl>
    <w:lvl w:ilvl="4" w:tplc="1EBC67BC">
      <w:start w:val="1"/>
      <w:numFmt w:val="bullet"/>
      <w:lvlText w:val="○"/>
      <w:lvlJc w:val="left"/>
      <w:pPr>
        <w:ind w:left="3600" w:hanging="360"/>
      </w:pPr>
    </w:lvl>
    <w:lvl w:ilvl="5" w:tplc="0770B70C">
      <w:start w:val="1"/>
      <w:numFmt w:val="bullet"/>
      <w:lvlText w:val="■"/>
      <w:lvlJc w:val="left"/>
      <w:pPr>
        <w:ind w:left="4320" w:hanging="360"/>
      </w:pPr>
    </w:lvl>
    <w:lvl w:ilvl="6" w:tplc="CE0C2D8C">
      <w:start w:val="1"/>
      <w:numFmt w:val="bullet"/>
      <w:lvlText w:val="●"/>
      <w:lvlJc w:val="left"/>
      <w:pPr>
        <w:ind w:left="5040" w:hanging="360"/>
      </w:pPr>
    </w:lvl>
    <w:lvl w:ilvl="7" w:tplc="BE486F6C">
      <w:start w:val="1"/>
      <w:numFmt w:val="bullet"/>
      <w:lvlText w:val="●"/>
      <w:lvlJc w:val="left"/>
      <w:pPr>
        <w:ind w:left="5760" w:hanging="360"/>
      </w:pPr>
    </w:lvl>
    <w:lvl w:ilvl="8" w:tplc="E8C695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4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37D2"/>
    <w:rsid w:val="002E0E23"/>
    <w:rsid w:val="00587FEC"/>
    <w:rsid w:val="006337D2"/>
    <w:rsid w:val="00D95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6337D2"/>
    <w:rPr>
      <w:sz w:val="56"/>
      <w:szCs w:val="56"/>
    </w:rPr>
  </w:style>
  <w:style w:type="paragraph" w:customStyle="1" w:styleId="Heading1">
    <w:name w:val="Heading 1"/>
    <w:qFormat/>
    <w:rsid w:val="006337D2"/>
    <w:rPr>
      <w:color w:val="2E74B5"/>
      <w:sz w:val="32"/>
      <w:szCs w:val="32"/>
    </w:rPr>
  </w:style>
  <w:style w:type="paragraph" w:customStyle="1" w:styleId="Heading2">
    <w:name w:val="Heading 2"/>
    <w:qFormat/>
    <w:rsid w:val="006337D2"/>
    <w:rPr>
      <w:color w:val="2E74B5"/>
      <w:sz w:val="26"/>
      <w:szCs w:val="26"/>
    </w:rPr>
  </w:style>
  <w:style w:type="paragraph" w:customStyle="1" w:styleId="Heading3">
    <w:name w:val="Heading 3"/>
    <w:qFormat/>
    <w:rsid w:val="006337D2"/>
    <w:rPr>
      <w:color w:val="1F4D78"/>
    </w:rPr>
  </w:style>
  <w:style w:type="paragraph" w:customStyle="1" w:styleId="Heading4">
    <w:name w:val="Heading 4"/>
    <w:qFormat/>
    <w:rsid w:val="006337D2"/>
    <w:rPr>
      <w:i/>
      <w:iCs/>
      <w:color w:val="2E74B5"/>
    </w:rPr>
  </w:style>
  <w:style w:type="paragraph" w:customStyle="1" w:styleId="Heading5">
    <w:name w:val="Heading 5"/>
    <w:qFormat/>
    <w:rsid w:val="006337D2"/>
    <w:rPr>
      <w:color w:val="2E74B5"/>
    </w:rPr>
  </w:style>
  <w:style w:type="paragraph" w:customStyle="1" w:styleId="Heading6">
    <w:name w:val="Heading 6"/>
    <w:qFormat/>
    <w:rsid w:val="006337D2"/>
    <w:rPr>
      <w:color w:val="1F4D78"/>
    </w:rPr>
  </w:style>
  <w:style w:type="paragraph" w:customStyle="1" w:styleId="1">
    <w:name w:val="Строгий1"/>
    <w:qFormat/>
    <w:rsid w:val="006337D2"/>
    <w:rPr>
      <w:b/>
      <w:bCs/>
    </w:rPr>
  </w:style>
  <w:style w:type="paragraph" w:styleId="a4">
    <w:name w:val="List Paragraph"/>
    <w:qFormat/>
    <w:rsid w:val="006337D2"/>
  </w:style>
  <w:style w:type="character" w:styleId="a5">
    <w:name w:val="Hyperlink"/>
    <w:uiPriority w:val="99"/>
    <w:unhideWhenUsed/>
    <w:rsid w:val="006337D2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6337D2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6337D2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6337D2"/>
    <w:rPr>
      <w:sz w:val="20"/>
      <w:szCs w:val="20"/>
    </w:rPr>
  </w:style>
  <w:style w:type="character" w:styleId="a9">
    <w:name w:val="endnote reference"/>
    <w:uiPriority w:val="99"/>
    <w:semiHidden/>
    <w:unhideWhenUsed/>
    <w:rsid w:val="006337D2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6337D2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6337D2"/>
    <w:rPr>
      <w:sz w:val="20"/>
      <w:szCs w:val="20"/>
    </w:rPr>
  </w:style>
  <w:style w:type="paragraph" w:customStyle="1" w:styleId="Heading10">
    <w:name w:val="Heading 1"/>
    <w:qFormat/>
    <w:rsid w:val="006337D2"/>
    <w:pPr>
      <w:spacing w:before="200" w:after="100"/>
      <w:jc w:val="center"/>
      <w:outlineLvl w:val="0"/>
    </w:pPr>
    <w:rPr>
      <w:b/>
      <w:bCs/>
      <w:sz w:val="28"/>
      <w:szCs w:val="28"/>
    </w:rPr>
  </w:style>
  <w:style w:type="paragraph" w:customStyle="1" w:styleId="Heading20">
    <w:name w:val="Heading 2"/>
    <w:qFormat/>
    <w:rsid w:val="006337D2"/>
    <w:pPr>
      <w:spacing w:before="160" w:after="80"/>
      <w:outlineLvl w:val="1"/>
    </w:pPr>
    <w:rPr>
      <w:b/>
      <w:bCs/>
      <w:sz w:val="26"/>
      <w:szCs w:val="26"/>
    </w:rPr>
  </w:style>
  <w:style w:type="paragraph" w:styleId="ac">
    <w:name w:val="header"/>
    <w:basedOn w:val="a"/>
    <w:link w:val="ad"/>
    <w:uiPriority w:val="99"/>
    <w:semiHidden/>
    <w:unhideWhenUsed/>
    <w:rsid w:val="002E0E2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2E0E23"/>
  </w:style>
  <w:style w:type="paragraph" w:styleId="ae">
    <w:name w:val="footer"/>
    <w:basedOn w:val="a"/>
    <w:link w:val="af"/>
    <w:uiPriority w:val="99"/>
    <w:semiHidden/>
    <w:unhideWhenUsed/>
    <w:rsid w:val="002E0E2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2E0E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Петр</cp:lastModifiedBy>
  <cp:revision>3</cp:revision>
  <dcterms:created xsi:type="dcterms:W3CDTF">2026-09-15T07:46:00Z</dcterms:created>
  <dcterms:modified xsi:type="dcterms:W3CDTF">2026-09-15T07:51:00Z</dcterms:modified>
</cp:coreProperties>
</file>