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before="600" w:after="80"/>
        <w:jc w:val="center"/>
      </w:pPr>
      <w:r>
        <w:rPr>
          <w:rFonts w:ascii="Arial" w:cs="Arial" w:eastAsia="Arial" w:hAnsi="Arial"/>
          <w:b/>
          <w:bCs/>
          <w:color w:val="1a2332"/>
          <w:sz w:val="48"/>
          <w:szCs w:val="48"/>
        </w:rPr>
        <w:t xml:space="preserve">DeKalb County</w:t>
      </w:r>
    </w:p>
    <w:p>
      <w:pPr>
        <w:spacing w:after="80"/>
        <w:jc w:val="center"/>
      </w:pPr>
      <w:r>
        <w:rPr>
          <w:rFonts w:ascii="Arial" w:cs="Arial" w:eastAsia="Arial" w:hAnsi="Arial"/>
          <w:b/>
          <w:bCs/>
          <w:color w:val="2B5797"/>
          <w:sz w:val="44"/>
          <w:szCs w:val="44"/>
        </w:rPr>
        <w:t xml:space="preserve">VHF Coverage Planner</w:t>
      </w:r>
    </w:p>
    <w:p>
      <w:pPr>
        <w:spacing w:after="400"/>
        <w:jc w:val="center"/>
      </w:pPr>
      <w:r>
        <w:rPr>
          <w:rFonts w:ascii="Arial" w:cs="Arial" w:eastAsia="Arial" w:hAnsi="Arial"/>
          <w:color w:val="555555"/>
          <w:sz w:val="32"/>
          <w:szCs w:val="32"/>
        </w:rPr>
        <w:t xml:space="preserve">User Manual</w:t>
      </w:r>
    </w:p>
    <w:p>
      <w:pPr>
        <w:spacing w:after="80"/>
        <w:jc w:val="center"/>
      </w:pPr>
      <w:r>
        <w:rPr>
          <w:rFonts w:ascii="Arial" w:cs="Arial" w:eastAsia="Arial" w:hAnsi="Arial"/>
          <w:color w:val="666666"/>
          <w:sz w:val="22"/>
          <w:szCs w:val="22"/>
        </w:rPr>
        <w:t xml:space="preserve">DeKalb County Fire Rescue EMCOMM Planning Tool</w:t>
      </w:r>
    </w:p>
    <w:p>
      <w:pPr>
        <w:spacing w:after="80"/>
        <w:jc w:val="center"/>
      </w:pPr>
      <w:r>
        <w:rPr>
          <w:rFonts w:ascii="Arial" w:cs="Arial" w:eastAsia="Arial" w:hAnsi="Arial"/>
          <w:color w:val="888888"/>
          <w:sz w:val="20"/>
          <w:szCs w:val="20"/>
        </w:rPr>
        <w:t xml:space="preserve">Hata + Terrain Propagation Model • 146 MHz VHF Band</w:t>
      </w:r>
    </w:p>
    <w:p>
      <w:pPr>
        <w:spacing w:after="400"/>
        <w:jc w:val="center"/>
      </w:pPr>
      <w:r>
        <w:rPr>
          <w:rFonts w:ascii="Arial" w:cs="Arial" w:eastAsia="Arial" w:hAnsi="Arial"/>
          <w:color w:val="888888"/>
          <w:sz w:val="20"/>
          <w:szCs w:val="20"/>
        </w:rPr>
        <w:t xml:space="preserve">Version 1.3 — March 2026</w:t>
      </w:r>
    </w:p>
    <w:p>
      <w:r>
        <w:br w:type="page"/>
      </w:r>
    </w:p>
    <w:p>
      <w:pPr>
        <w:pStyle w:val="Heading1"/>
        <w:spacing w:before="300" w:after="160"/>
      </w:pPr>
      <w:r>
        <w:rPr>
          <w:rFonts w:ascii="Arial" w:cs="Arial" w:eastAsia="Arial" w:hAnsi="Arial"/>
        </w:rPr>
        <w:t xml:space="preserve">1. Overview</w:t>
      </w:r>
    </w:p>
    <w:p>
      <w:pPr>
        <w:spacing w:after="160"/>
      </w:pPr>
      <w:r>
        <w:rPr>
          <w:rFonts w:ascii="Arial" w:cs="Arial" w:eastAsia="Arial" w:hAnsi="Arial"/>
          <w:sz w:val="22"/>
          <w:szCs w:val="22"/>
        </w:rPr>
        <w:t xml:space="preserve">The DeKalb County VHF Coverage Planner is a browser-based tool for estimating VHF radio coverage from 35 deployment sites across DeKalb County and surrounding areas. Sites include the 26 DeKalb County Fire Rescue (DCFR) stations plus mountain summits (Stone Mountain, Arabia Mountain, Panola Mountain), command facilities (DCFR HQ/EOC, PDK Airport, CDC), and served agency hospitals (Emory University, Emory Decatur, Emory Hillandale). The tool is designed for ARES/RACES emergency communications planning.</w:t>
      </w:r>
    </w:p>
    <w:p>
      <w:pPr>
        <w:spacing w:after="160"/>
      </w:pPr>
      <w:r>
        <w:rPr>
          <w:rFonts w:ascii="Arial" w:cs="Arial" w:eastAsia="Arial" w:hAnsi="Arial"/>
          <w:sz w:val="22"/>
          <w:szCs w:val="22"/>
        </w:rPr>
        <w:t xml:space="preserve">The tool runs entirely in a web browser as a single self-contained HTML file (approximately 150 KB). A digital elevation model covering DeKalb and 12 surrounding counties is embedded directly in the file—no internet connection is required except for loading map tiles and the county boundary overlay.</w:t>
      </w:r>
    </w:p>
    <w:p>
      <w:pPr>
        <w:pStyle w:val="Heading2"/>
        <w:spacing w:before="300" w:after="160"/>
      </w:pPr>
      <w:r>
        <w:rPr>
          <w:rFonts w:ascii="Arial" w:cs="Arial" w:eastAsia="Arial" w:hAnsi="Arial"/>
        </w:rPr>
        <w:t xml:space="preserve">1.1. What It Does</w:t>
      </w:r>
    </w:p>
    <w:p>
      <w:pPr>
        <w:pStyle w:val="ListParagraph"/>
        <w:numPr>
          <w:ilvl w:val="0"/>
          <w:numId w:val="2"/>
        </w:numPr>
        <w:spacing w:after="80"/>
      </w:pPr>
      <w:r>
        <w:rPr>
          <w:rFonts w:ascii="Arial" w:cs="Arial" w:eastAsia="Arial" w:hAnsi="Arial"/>
          <w:sz w:val="22"/>
          <w:szCs w:val="22"/>
        </w:rPr>
        <w:t xml:space="preserve">Calculates forward link (station to field) and reverse link (field to station) ranges using the Okumura–Hata suburban propagation model with effective antenna height correction and terrain-aware diffraction</w:t>
      </w:r>
    </w:p>
    <w:p>
      <w:pPr>
        <w:pStyle w:val="ListParagraph"/>
        <w:numPr>
          <w:ilvl w:val="0"/>
          <w:numId w:val="2"/>
        </w:numPr>
        <w:spacing w:after="80"/>
      </w:pPr>
      <w:r>
        <w:rPr>
          <w:rFonts w:ascii="Arial" w:cs="Arial" w:eastAsia="Arial" w:hAnsi="Arial"/>
          <w:sz w:val="22"/>
          <w:szCs w:val="22"/>
        </w:rPr>
        <w:t xml:space="preserve">Embeds a 13,000-point digital elevation model covering 13 counties, with line-of-sight analysis, Fresnel zone clearance checks, and single knife-edge diffraction calculations along every path</w:t>
      </w:r>
    </w:p>
    <w:p>
      <w:pPr>
        <w:pStyle w:val="ListParagraph"/>
        <w:numPr>
          <w:ilvl w:val="0"/>
          <w:numId w:val="2"/>
        </w:numPr>
        <w:spacing w:after="80"/>
      </w:pPr>
      <w:r>
        <w:rPr>
          <w:rFonts w:ascii="Arial" w:cs="Arial" w:eastAsia="Arial" w:hAnsi="Arial"/>
          <w:sz w:val="22"/>
          <w:szCs w:val="22"/>
        </w:rPr>
        <w:t xml:space="preserve">Displays irregular terrain-aware coverage polygons on a dark-themed map with the real county boundary overlay</w:t>
      </w:r>
    </w:p>
    <w:p>
      <w:pPr>
        <w:pStyle w:val="ListParagraph"/>
        <w:numPr>
          <w:ilvl w:val="0"/>
          <w:numId w:val="2"/>
        </w:numPr>
        <w:spacing w:after="80"/>
      </w:pPr>
      <w:r>
        <w:rPr>
          <w:rFonts w:ascii="Arial" w:cs="Arial" w:eastAsia="Arial" w:hAnsi="Arial"/>
          <w:sz w:val="22"/>
          <w:szCs w:val="22"/>
        </w:rPr>
        <w:t xml:space="preserve">Computes station-to-station link budgets including terrain obstruction losses, with pass/marginal/fail assessment</w:t>
      </w:r>
    </w:p>
    <w:p>
      <w:pPr>
        <w:pStyle w:val="ListParagraph"/>
        <w:numPr>
          <w:ilvl w:val="0"/>
          <w:numId w:val="2"/>
        </w:numPr>
        <w:spacing w:after="80"/>
      </w:pPr>
      <w:r>
        <w:rPr>
          <w:rFonts w:ascii="Arial" w:cs="Arial" w:eastAsia="Arial" w:hAnsi="Arial"/>
          <w:sz w:val="22"/>
          <w:szCs w:val="22"/>
        </w:rPr>
        <w:t xml:space="preserve">Models simplex repeater relay paths for stations that cannot communicate directly</w:t>
      </w:r>
    </w:p>
    <w:p>
      <w:pPr>
        <w:pStyle w:val="ListParagraph"/>
        <w:numPr>
          <w:ilvl w:val="0"/>
          <w:numId w:val="2"/>
        </w:numPr>
        <w:spacing w:after="80"/>
      </w:pPr>
      <w:r>
        <w:rPr>
          <w:rFonts w:ascii="Arial" w:cs="Arial" w:eastAsia="Arial" w:hAnsi="Arial"/>
          <w:sz w:val="22"/>
          <w:szCs w:val="22"/>
        </w:rPr>
        <w:t xml:space="preserve">Generates a 3-tier frequency plan with CTCSS tone assignments and co-frequency conflict detection for simplex repeaters</w:t>
      </w:r>
    </w:p>
    <w:p>
      <w:pPr>
        <w:pStyle w:val="ListParagraph"/>
        <w:numPr>
          <w:ilvl w:val="0"/>
          <w:numId w:val="2"/>
        </w:numPr>
        <w:spacing w:after="80"/>
      </w:pPr>
      <w:r>
        <w:rPr>
          <w:rFonts w:ascii="Arial" w:cs="Arial" w:eastAsia="Arial" w:hAnsi="Arial"/>
          <w:sz w:val="22"/>
          <w:szCs w:val="22"/>
        </w:rPr>
        <w:t xml:space="preserve">Provides a path diagnostic tool showing the complete terrain profile, Fresnel zone visualization, and step-by-step link budget for any TX→RX path</w:t>
      </w:r>
    </w:p>
    <w:p>
      <w:pPr>
        <w:pStyle w:val="ListParagraph"/>
        <w:numPr>
          <w:ilvl w:val="0"/>
          <w:numId w:val="2"/>
        </w:numPr>
        <w:spacing w:after="80"/>
      </w:pPr>
      <w:r>
        <w:rPr>
          <w:rFonts w:ascii="Arial" w:cs="Arial" w:eastAsia="Arial" w:hAnsi="Arial"/>
          <w:sz w:val="22"/>
          <w:szCs w:val="22"/>
        </w:rPr>
        <w:t xml:space="preserve">Updates all calculations live as you adjust parameters—no manual refresh needed</w:t>
      </w:r>
    </w:p>
    <w:p>
      <w:pPr>
        <w:pStyle w:val="Heading2"/>
        <w:spacing w:before="300" w:after="160"/>
      </w:pPr>
      <w:r>
        <w:rPr>
          <w:rFonts w:ascii="Arial" w:cs="Arial" w:eastAsia="Arial" w:hAnsi="Arial"/>
        </w:rPr>
        <w:t xml:space="preserve">1.2. Propagation Model</w:t>
      </w:r>
    </w:p>
    <w:p>
      <w:pPr>
        <w:spacing w:after="160"/>
      </w:pPr>
      <w:r>
        <w:rPr>
          <w:rFonts w:ascii="Arial" w:cs="Arial" w:eastAsia="Arial" w:hAnsi="Arial"/>
          <w:sz w:val="22"/>
          <w:szCs w:val="22"/>
        </w:rPr>
        <w:t xml:space="preserve">The tool combines three complementary propagation components:</w:t>
      </w:r>
    </w:p>
    <w:p>
      <w:pPr>
        <w:pStyle w:val="ListParagraph"/>
        <w:numPr>
          <w:ilvl w:val="0"/>
          <w:numId w:val="2"/>
        </w:numPr>
        <w:spacing w:after="80"/>
      </w:pPr>
      <w:r>
        <w:rPr>
          <w:rFonts w:ascii="Arial" w:cs="Arial" w:eastAsia="Arial" w:hAnsi="Arial"/>
          <w:b/>
          <w:bCs/>
          <w:sz w:val="22"/>
          <w:szCs w:val="22"/>
        </w:rPr>
        <w:t xml:space="preserve">Okumura–Hata (suburban): </w:t>
      </w:r>
      <w:r>
        <w:rPr>
          <w:rFonts w:ascii="Arial" w:cs="Arial" w:eastAsia="Arial" w:hAnsi="Arial"/>
          <w:sz w:val="22"/>
          <w:szCs w:val="22"/>
        </w:rPr>
        <w:t xml:space="preserve">a well-validated empirical model for predicting median path loss in suburban environments at VHF frequencies. It accounts for frequency, base station antenna height, mobile antenna height, and distance. This provides the baseline path loss.</w:t>
      </w:r>
    </w:p>
    <w:p>
      <w:pPr>
        <w:pStyle w:val="ListParagraph"/>
        <w:numPr>
          <w:ilvl w:val="0"/>
          <w:numId w:val="2"/>
        </w:numPr>
        <w:spacing w:after="80"/>
      </w:pPr>
      <w:r>
        <w:rPr>
          <w:rFonts w:ascii="Arial" w:cs="Arial" w:eastAsia="Arial" w:hAnsi="Arial"/>
          <w:b/>
          <w:bCs/>
          <w:sz w:val="22"/>
          <w:szCs w:val="22"/>
        </w:rPr>
        <w:t xml:space="preserve">Effective antenna height: </w:t>
      </w:r>
      <w:r>
        <w:rPr>
          <w:rFonts w:ascii="Arial" w:cs="Arial" w:eastAsia="Arial" w:hAnsi="Arial"/>
          <w:sz w:val="22"/>
          <w:szCs w:val="22"/>
        </w:rPr>
        <w:t xml:space="preserve">when a station is on higher ground than its target, the Hata base station height parameter is increased by the elevation difference. This correctly models the propagation advantage of hilltop and mountain-top sites. For example, Stone Mountain’s summit at 1,686 ft with a 15 ft mast has an effective height of ~250 m when communicating with a station at 950 ft—dramatically increasing predicted range compared to the raw 15 ft mast height. The effective height is clamped to the Hata model’s validated range of 1.5–300 m.</w:t>
      </w:r>
    </w:p>
    <w:p>
      <w:pPr>
        <w:pStyle w:val="ListParagraph"/>
        <w:numPr>
          <w:ilvl w:val="0"/>
          <w:numId w:val="2"/>
        </w:numPr>
        <w:spacing w:after="80"/>
      </w:pPr>
      <w:r>
        <w:rPr>
          <w:rFonts w:ascii="Arial" w:cs="Arial" w:eastAsia="Arial" w:hAnsi="Arial"/>
          <w:b/>
          <w:bCs/>
          <w:sz w:val="22"/>
          <w:szCs w:val="22"/>
        </w:rPr>
        <w:t xml:space="preserve">Terrain diffraction (Bullington): </w:t>
      </w:r>
      <w:r>
        <w:rPr>
          <w:rFonts w:ascii="Arial" w:cs="Arial" w:eastAsia="Arial" w:hAnsi="Arial"/>
          <w:sz w:val="22"/>
          <w:szCs w:val="22"/>
        </w:rPr>
        <w:t xml:space="preserve">a deterministic model that analyzes the terrain profile between transmitter and receiver using elevation data. It computes line-of-sight clearance, first Fresnel zone intrusion, and knife-edge diffraction loss from the dominant terrain obstruction. This additional loss is added on top of the Hata prediction.</w:t>
      </w:r>
    </w:p>
    <w:p>
      <w:pPr>
        <w:spacing w:after="160"/>
      </w:pPr>
      <w:r>
        <w:rPr>
          <w:rFonts w:ascii="Arial" w:cs="Arial" w:eastAsia="Arial" w:hAnsi="Arial"/>
          <w:sz w:val="22"/>
          <w:szCs w:val="22"/>
        </w:rPr>
        <w:t xml:space="preserve">The combined model produces coverage shapes that reflect actual terrain and elevation advantage: elevated sites like Stone Mountain produce dramatically larger coverage polygons, while stations in valleys show contracted coverage. An obstructed LOS does not necessarily mean a failed link—the Bullington model predicts the diffraction loss, which at VHF frequencies is often only 6–15 dB for moderate obstructions.</w:t>
      </w:r>
    </w:p>
    <w:p>
      <w:pPr>
        <w:spacing w:after="160"/>
      </w:pPr>
      <w:r>
        <w:rPr>
          <w:rFonts w:ascii="Arial" w:cs="Arial" w:eastAsia="Arial" w:hAnsi="Arial"/>
          <w:b/>
          <w:bCs/>
          <w:sz w:val="22"/>
          <w:szCs w:val="22"/>
        </w:rPr>
        <w:t xml:space="preserve">Important limitation: </w:t>
      </w:r>
      <w:r>
        <w:rPr>
          <w:rFonts w:ascii="Arial" w:cs="Arial" w:eastAsia="Arial" w:hAnsi="Arial"/>
          <w:sz w:val="22"/>
          <w:szCs w:val="22"/>
        </w:rPr>
        <w:t xml:space="preserve">the Hata model was designed for base station heights of 30–200 meters. At the antenna heights typical of fire station installations (5–15 meters), the model is being extrapolated below its validated range. The effective height correction mitigates this for elevated sites but does not model building clutter, dense vegetation, or multiple successive diffractions.</w:t>
      </w:r>
    </w:p>
    <w:p>
      <w:r>
        <w:br w:type="page"/>
      </w:r>
    </w:p>
    <w:p>
      <w:pPr>
        <w:pStyle w:val="Heading1"/>
        <w:spacing w:before="300" w:after="160"/>
      </w:pPr>
      <w:r>
        <w:rPr>
          <w:rFonts w:ascii="Arial" w:cs="Arial" w:eastAsia="Arial" w:hAnsi="Arial"/>
        </w:rPr>
        <w:t xml:space="preserve">2. Interface Layout</w:t>
      </w:r>
    </w:p>
    <w:p>
      <w:pPr>
        <w:spacing w:after="160"/>
      </w:pPr>
      <w:r>
        <w:rPr>
          <w:rFonts w:ascii="Arial" w:cs="Arial" w:eastAsia="Arial" w:hAnsi="Arial"/>
          <w:sz w:val="22"/>
          <w:szCs w:val="22"/>
        </w:rPr>
        <w:t xml:space="preserve">The application is divided into a sidebar on the left and a map on the right.</w:t>
      </w:r>
    </w:p>
    <w:p>
      <w:pPr>
        <w:pStyle w:val="Heading2"/>
        <w:spacing w:before="300" w:after="160"/>
      </w:pPr>
      <w:r>
        <w:rPr>
          <w:rFonts w:ascii="Arial" w:cs="Arial" w:eastAsia="Arial" w:hAnsi="Arial"/>
        </w:rPr>
        <w:t xml:space="preserve">2.1. Mode Tabs</w:t>
      </w:r>
    </w:p>
    <w:p>
      <w:pPr>
        <w:spacing w:after="160"/>
      </w:pPr>
      <w:r>
        <w:rPr>
          <w:rFonts w:ascii="Arial" w:cs="Arial" w:eastAsia="Arial" w:hAnsi="Arial"/>
          <w:sz w:val="22"/>
          <w:szCs w:val="22"/>
        </w:rPr>
        <w:t xml:space="preserve">Four tabs at the top of the sidebar switch between operating modes:</w:t>
      </w:r>
    </w:p>
    <w:p>
      <w:pPr>
        <w:pStyle w:val="ListParagraph"/>
        <w:numPr>
          <w:ilvl w:val="0"/>
          <w:numId w:val="2"/>
        </w:numPr>
        <w:spacing w:after="80"/>
      </w:pPr>
      <w:r>
        <w:rPr>
          <w:rFonts w:ascii="Arial" w:cs="Arial" w:eastAsia="Arial" w:hAnsi="Arial"/>
          <w:b/>
          <w:bCs/>
          <w:sz w:val="22"/>
          <w:szCs w:val="22"/>
        </w:rPr>
        <w:t xml:space="preserve">Field Coverage — </w:t>
      </w:r>
      <w:r>
        <w:rPr>
          <w:rFonts w:ascii="Arial" w:cs="Arial" w:eastAsia="Arial" w:hAnsi="Arial"/>
          <w:sz w:val="22"/>
          <w:szCs w:val="22"/>
        </w:rPr>
        <w:t xml:space="preserve">shows terrain-aware coverage polygons for each selected station with field radios.</w:t>
      </w:r>
    </w:p>
    <w:p>
      <w:pPr>
        <w:pStyle w:val="ListParagraph"/>
        <w:numPr>
          <w:ilvl w:val="0"/>
          <w:numId w:val="2"/>
        </w:numPr>
        <w:spacing w:after="80"/>
      </w:pPr>
      <w:r>
        <w:rPr>
          <w:rFonts w:ascii="Arial" w:cs="Arial" w:eastAsia="Arial" w:hAnsi="Arial"/>
          <w:b/>
          <w:bCs/>
          <w:sz w:val="22"/>
          <w:szCs w:val="22"/>
        </w:rPr>
        <w:t xml:space="preserve">Station Links — </w:t>
      </w:r>
      <w:r>
        <w:rPr>
          <w:rFonts w:ascii="Arial" w:cs="Arial" w:eastAsia="Arial" w:hAnsi="Arial"/>
          <w:sz w:val="22"/>
          <w:szCs w:val="22"/>
        </w:rPr>
        <w:t xml:space="preserve">analyzes pairwise station-to-station links with terrain, including SR relay detection.</w:t>
      </w:r>
    </w:p>
    <w:p>
      <w:pPr>
        <w:pStyle w:val="ListParagraph"/>
        <w:numPr>
          <w:ilvl w:val="0"/>
          <w:numId w:val="2"/>
        </w:numPr>
        <w:spacing w:after="80"/>
      </w:pPr>
      <w:r>
        <w:rPr>
          <w:rFonts w:ascii="Arial" w:cs="Arial" w:eastAsia="Arial" w:hAnsi="Arial"/>
          <w:b/>
          <w:bCs/>
          <w:sz w:val="22"/>
          <w:szCs w:val="22"/>
        </w:rPr>
        <w:t xml:space="preserve">Freq Planning — </w:t>
      </w:r>
      <w:r>
        <w:rPr>
          <w:rFonts w:ascii="Arial" w:cs="Arial" w:eastAsia="Arial" w:hAnsi="Arial"/>
          <w:sz w:val="22"/>
          <w:szCs w:val="22"/>
        </w:rPr>
        <w:t xml:space="preserve">generates a 3-tier frequency plan with north/south zone assignments, CTCSS tones, and co-frequency conflict detection for simplex repeaters.</w:t>
      </w:r>
    </w:p>
    <w:p>
      <w:pPr>
        <w:pStyle w:val="ListParagraph"/>
        <w:numPr>
          <w:ilvl w:val="0"/>
          <w:numId w:val="2"/>
        </w:numPr>
        <w:spacing w:after="80"/>
      </w:pPr>
      <w:r>
        <w:rPr>
          <w:rFonts w:ascii="Arial" w:cs="Arial" w:eastAsia="Arial" w:hAnsi="Arial"/>
          <w:b/>
          <w:bCs/>
          <w:sz w:val="22"/>
          <w:szCs w:val="22"/>
        </w:rPr>
        <w:t xml:space="preserve">Path Diag — </w:t>
      </w:r>
      <w:r>
        <w:rPr>
          <w:rFonts w:ascii="Arial" w:cs="Arial" w:eastAsia="Arial" w:hAnsi="Arial"/>
          <w:sz w:val="22"/>
          <w:szCs w:val="22"/>
        </w:rPr>
        <w:t xml:space="preserve">click a TX station then click an RX target to see the complete terrain profile, Fresnel zone visualization, and step-by-step link budget. Supports both base-to-base and base-to-field analysis modes.</w:t>
      </w:r>
    </w:p>
    <w:p>
      <w:pPr>
        <w:pStyle w:val="Heading2"/>
        <w:spacing w:before="300" w:after="160"/>
      </w:pPr>
      <w:r>
        <w:rPr>
          <w:rFonts w:ascii="Arial" w:cs="Arial" w:eastAsia="Arial" w:hAnsi="Arial"/>
        </w:rPr>
        <w:t xml:space="preserve">2.2. DEM Status Bar</w:t>
      </w:r>
    </w:p>
    <w:p>
      <w:pPr>
        <w:spacing w:after="160"/>
      </w:pPr>
      <w:r>
        <w:rPr>
          <w:rFonts w:ascii="Arial" w:cs="Arial" w:eastAsia="Arial" w:hAnsi="Arial"/>
          <w:sz w:val="22"/>
          <w:szCs w:val="22"/>
        </w:rPr>
        <w:t xml:space="preserve">Below the mode tabs, a status bar shows the terrain model state. The DEM is embedded directly in the HTML file (111×121 grid, 13,431 points covering 13 counties), so it loads instantly with no API calls. The status shows the grid dimensions and elevation range (approximately 755–1660 ft).</w:t>
      </w:r>
    </w:p>
    <w:p>
      <w:pPr>
        <w:pStyle w:val="Heading2"/>
        <w:spacing w:before="300" w:after="160"/>
      </w:pPr>
      <w:r>
        <w:rPr>
          <w:rFonts w:ascii="Arial" w:cs="Arial" w:eastAsia="Arial" w:hAnsi="Arial"/>
        </w:rPr>
        <w:t xml:space="preserve">2.3. Deployment Sites</w:t>
      </w:r>
    </w:p>
    <w:p>
      <w:pPr>
        <w:spacing w:after="160"/>
      </w:pPr>
      <w:r>
        <w:rPr>
          <w:rFonts w:ascii="Arial" w:cs="Arial" w:eastAsia="Arial" w:hAnsi="Arial"/>
          <w:sz w:val="22"/>
          <w:szCs w:val="22"/>
        </w:rPr>
        <w:t xml:space="preserve">The sidebar lists 35 deployment sites organized into four categories, each with a distinct map marker shape:</w:t>
      </w:r>
    </w:p>
    <w:p>
      <w:pPr>
        <w:pStyle w:val="ListParagraph"/>
        <w:numPr>
          <w:ilvl w:val="0"/>
          <w:numId w:val="2"/>
        </w:numPr>
        <w:spacing w:after="80"/>
      </w:pPr>
      <w:r>
        <w:rPr>
          <w:rFonts w:ascii="Arial" w:cs="Arial" w:eastAsia="Arial" w:hAnsi="Arial"/>
          <w:b/>
          <w:bCs/>
          <w:sz w:val="22"/>
          <w:szCs w:val="22"/>
        </w:rPr>
        <w:t xml:space="preserve">Fire Stations (26 sites, circles): </w:t>
      </w:r>
      <w:r>
        <w:rPr>
          <w:rFonts w:ascii="Arial" w:cs="Arial" w:eastAsia="Arial" w:hAnsi="Arial"/>
          <w:sz w:val="22"/>
          <w:szCs w:val="22"/>
        </w:rPr>
        <w:t xml:space="preserve">all DCFR stations with verified addresses and GPS coordinates from Google Places.</w:t>
      </w:r>
    </w:p>
    <w:p>
      <w:pPr>
        <w:pStyle w:val="ListParagraph"/>
        <w:numPr>
          <w:ilvl w:val="0"/>
          <w:numId w:val="2"/>
        </w:numPr>
        <w:spacing w:after="80"/>
      </w:pPr>
      <w:r>
        <w:rPr>
          <w:rFonts w:ascii="Arial" w:cs="Arial" w:eastAsia="Arial" w:hAnsi="Arial"/>
          <w:b/>
          <w:bCs/>
          <w:sz w:val="22"/>
          <w:szCs w:val="22"/>
        </w:rPr>
        <w:t xml:space="preserve">Mountain Summits (3 sites, triangles): </w:t>
      </w:r>
      <w:r>
        <w:rPr>
          <w:rFonts w:ascii="Arial" w:cs="Arial" w:eastAsia="Arial" w:hAnsi="Arial"/>
          <w:sz w:val="22"/>
          <w:szCs w:val="22"/>
        </w:rPr>
        <w:t xml:space="preserve">Stone Mountain summit (1,686 ft), Arabia Mountain summit (955 ft), and Panola Mountain (940 ft). These high points offer dramatic coverage advantages from the effective antenna height correction.</w:t>
      </w:r>
    </w:p>
    <w:p>
      <w:pPr>
        <w:pStyle w:val="ListParagraph"/>
        <w:numPr>
          <w:ilvl w:val="0"/>
          <w:numId w:val="2"/>
        </w:numPr>
        <w:spacing w:after="80"/>
      </w:pPr>
      <w:r>
        <w:rPr>
          <w:rFonts w:ascii="Arial" w:cs="Arial" w:eastAsia="Arial" w:hAnsi="Arial"/>
          <w:b/>
          <w:bCs/>
          <w:sz w:val="22"/>
          <w:szCs w:val="22"/>
        </w:rPr>
        <w:t xml:space="preserve">Command / Infrastructure (3 sites, diamonds): </w:t>
      </w:r>
      <w:r>
        <w:rPr>
          <w:rFonts w:ascii="Arial" w:cs="Arial" w:eastAsia="Arial" w:hAnsi="Arial"/>
          <w:sz w:val="22"/>
          <w:szCs w:val="22"/>
        </w:rPr>
        <w:t xml:space="preserve">DCFR Headquarters/EOC in Tucker (site of the DeKalb ARES Winlink RMS WD5EMA-10), DeKalb–Peachtree Airport (PDK, staging area with emergency power), and CDC Roybal Campus.</w:t>
      </w:r>
    </w:p>
    <w:p>
      <w:pPr>
        <w:pStyle w:val="ListParagraph"/>
        <w:numPr>
          <w:ilvl w:val="0"/>
          <w:numId w:val="2"/>
        </w:numPr>
        <w:spacing w:after="80"/>
      </w:pPr>
      <w:r>
        <w:rPr>
          <w:rFonts w:ascii="Arial" w:cs="Arial" w:eastAsia="Arial" w:hAnsi="Arial"/>
          <w:b/>
          <w:bCs/>
          <w:sz w:val="22"/>
          <w:szCs w:val="22"/>
        </w:rPr>
        <w:t xml:space="preserve">Hospitals (3 sites, squares with cross): </w:t>
      </w:r>
      <w:r>
        <w:rPr>
          <w:rFonts w:ascii="Arial" w:cs="Arial" w:eastAsia="Arial" w:hAnsi="Arial"/>
          <w:sz w:val="22"/>
          <w:szCs w:val="22"/>
        </w:rPr>
        <w:t xml:space="preserve">Emory University Hospital, Emory Decatur Hospital, and Emory Hillandale Hospital (Lithonia). These are critical served agencies for mass casualty events.</w:t>
      </w:r>
    </w:p>
    <w:p>
      <w:pPr>
        <w:spacing w:after="160"/>
      </w:pPr>
      <w:r>
        <w:rPr>
          <w:rFonts w:ascii="Arial" w:cs="Arial" w:eastAsia="Arial" w:hAnsi="Arial"/>
          <w:sz w:val="22"/>
          <w:szCs w:val="22"/>
        </w:rPr>
        <w:t xml:space="preserve">All site types support selection, SR designation, and participate in all four modes. Category separators in the sidebar visually group the special sites.</w:t>
      </w:r>
    </w:p>
    <w:p>
      <w:pPr>
        <w:pStyle w:val="Heading2"/>
        <w:spacing w:before="300" w:after="160"/>
      </w:pPr>
      <w:r>
        <w:rPr>
          <w:rFonts w:ascii="Arial" w:cs="Arial" w:eastAsia="Arial" w:hAnsi="Arial"/>
        </w:rPr>
        <w:t xml:space="preserve">2.4. Simplex Repeater (SR) Designation</w:t>
      </w:r>
    </w:p>
    <w:p>
      <w:pPr>
        <w:spacing w:after="160"/>
      </w:pPr>
      <w:r>
        <w:rPr>
          <w:rFonts w:ascii="Arial" w:cs="Arial" w:eastAsia="Arial" w:hAnsi="Arial"/>
          <w:sz w:val="22"/>
          <w:szCs w:val="22"/>
        </w:rPr>
        <w:t xml:space="preserve">Each site row has a purple </w:t>
      </w:r>
      <w:r>
        <w:rPr>
          <w:rFonts w:ascii="Arial" w:cs="Arial" w:eastAsia="Arial" w:hAnsi="Arial"/>
          <w:b/>
          <w:bCs/>
          <w:sz w:val="22"/>
          <w:szCs w:val="22"/>
        </w:rPr>
        <w:t xml:space="preserve">SR</w:t>
      </w:r>
      <w:r>
        <w:rPr>
          <w:rFonts w:ascii="Arial" w:cs="Arial" w:eastAsia="Arial" w:hAnsi="Arial"/>
          <w:sz w:val="22"/>
          <w:szCs w:val="22"/>
        </w:rPr>
        <w:t xml:space="preserve"> button. Clicking it toggles that site as a simplex repeater. When enabled:</w:t>
      </w:r>
    </w:p>
    <w:p>
      <w:pPr>
        <w:pStyle w:val="ListParagraph"/>
        <w:numPr>
          <w:ilvl w:val="0"/>
          <w:numId w:val="2"/>
        </w:numPr>
        <w:spacing w:after="80"/>
      </w:pPr>
      <w:r>
        <w:rPr>
          <w:rFonts w:ascii="Arial" w:cs="Arial" w:eastAsia="Arial" w:hAnsi="Arial"/>
          <w:sz w:val="22"/>
          <w:szCs w:val="22"/>
        </w:rPr>
        <w:t xml:space="preserve">The sidebar button highlights purple, and the map marker changes from its category shape to a star (retaining the site’s assigned color for identification)</w:t>
      </w:r>
    </w:p>
    <w:p>
      <w:pPr>
        <w:pStyle w:val="ListParagraph"/>
        <w:numPr>
          <w:ilvl w:val="0"/>
          <w:numId w:val="2"/>
        </w:numPr>
        <w:spacing w:after="80"/>
      </w:pPr>
      <w:r>
        <w:rPr>
          <w:rFonts w:ascii="Arial" w:cs="Arial" w:eastAsia="Arial" w:hAnsi="Arial"/>
          <w:sz w:val="22"/>
          <w:szCs w:val="22"/>
        </w:rPr>
        <w:t xml:space="preserve">The map tooltip shows [SR] after the site name</w:t>
      </w:r>
    </w:p>
    <w:p>
      <w:pPr>
        <w:pStyle w:val="ListParagraph"/>
        <w:numPr>
          <w:ilvl w:val="0"/>
          <w:numId w:val="2"/>
        </w:numPr>
        <w:spacing w:after="80"/>
      </w:pPr>
      <w:r>
        <w:rPr>
          <w:rFonts w:ascii="Arial" w:cs="Arial" w:eastAsia="Arial" w:hAnsi="Arial"/>
          <w:sz w:val="22"/>
          <w:szCs w:val="22"/>
        </w:rPr>
        <w:t xml:space="preserve">In Field Coverage mode, a solid purple polygon shows the terrain-aware relay zone</w:t>
      </w:r>
    </w:p>
    <w:p>
      <w:pPr>
        <w:pStyle w:val="ListParagraph"/>
        <w:numPr>
          <w:ilvl w:val="0"/>
          <w:numId w:val="2"/>
        </w:numPr>
        <w:spacing w:after="80"/>
      </w:pPr>
      <w:r>
        <w:rPr>
          <w:rFonts w:ascii="Arial" w:cs="Arial" w:eastAsia="Arial" w:hAnsi="Arial"/>
          <w:sz w:val="22"/>
          <w:szCs w:val="22"/>
        </w:rPr>
        <w:t xml:space="preserve">In Station Links mode, failing direct links are checked for relay through SR stations</w:t>
      </w:r>
    </w:p>
    <w:p>
      <w:pPr>
        <w:pStyle w:val="Heading2"/>
        <w:spacing w:before="300" w:after="160"/>
      </w:pPr>
      <w:r>
        <w:rPr>
          <w:rFonts w:ascii="Arial" w:cs="Arial" w:eastAsia="Arial" w:hAnsi="Arial"/>
        </w:rPr>
        <w:t xml:space="preserve">2.5. Map Information Panel</w:t>
      </w:r>
    </w:p>
    <w:p>
      <w:pPr>
        <w:spacing w:after="160"/>
      </w:pPr>
      <w:r>
        <w:rPr>
          <w:rFonts w:ascii="Arial" w:cs="Arial" w:eastAsia="Arial" w:hAnsi="Arial"/>
          <w:sz w:val="22"/>
          <w:szCs w:val="22"/>
        </w:rPr>
        <w:t xml:space="preserve">The upper-right panel on the map displays the active model (Hata + Terrain, or Hata + Terrain −25% when derated), the DEM grid status and elevation range, the number of active sites and simplex repeaters, and the current display mode.</w:t>
      </w:r>
    </w:p>
    <w:p>
      <w:r>
        <w:br w:type="page"/>
      </w:r>
    </w:p>
    <w:p>
      <w:pPr>
        <w:pStyle w:val="Heading1"/>
        <w:spacing w:before="300" w:after="160"/>
      </w:pPr>
      <w:r>
        <w:rPr>
          <w:rFonts w:ascii="Arial" w:cs="Arial" w:eastAsia="Arial" w:hAnsi="Arial"/>
        </w:rPr>
        <w:t xml:space="preserve">3. Radio Configuration</w:t>
      </w:r>
    </w:p>
    <w:p>
      <w:pPr>
        <w:pStyle w:val="Heading2"/>
        <w:spacing w:before="300" w:after="160"/>
      </w:pPr>
      <w:r>
        <w:rPr>
          <w:rFonts w:ascii="Arial" w:cs="Arial" w:eastAsia="Arial" w:hAnsi="Arial"/>
        </w:rPr>
        <w:t xml:space="preserve">3.1. Radio at the Fire Station</w:t>
      </w:r>
    </w:p>
    <w:p>
      <w:pPr>
        <w:spacing w:after="160"/>
      </w:pPr>
      <w:r>
        <w:rPr>
          <w:rFonts w:ascii="Arial" w:cs="Arial" w:eastAsia="Arial" w:hAnsi="Arial"/>
          <w:sz w:val="22"/>
          <w:szCs w:val="22"/>
        </w:rPr>
        <w:t xml:space="preserve">This section configures the fixed radio installation at the fire station. These settings are shared between both modes.</w:t>
      </w:r>
    </w:p>
    <w:p>
      <w:pPr>
        <w:pStyle w:val="Heading3"/>
        <w:spacing w:before="300" w:after="160"/>
      </w:pPr>
      <w:r>
        <w:rPr>
          <w:rFonts w:ascii="Arial" w:cs="Arial" w:eastAsia="Arial" w:hAnsi="Arial"/>
        </w:rPr>
        <w:t xml:space="preserve">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17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Preset</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TX Power</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Ant. Gain</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Ant. Height</w:t>
            </w:r>
          </w:p>
        </w:tc>
        <w:tc>
          <w:tcPr>
            <w:tcW w:type="dxa" w:w="1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Cable Loss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50W 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dBi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25W 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dBi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w:t>
            </w:r>
          </w:p>
        </w:tc>
      </w:tr>
    </w:tbl>
    <w:p>
      <w:pPr>
        <w:spacing w:after="160"/>
      </w:pPr>
    </w:p>
    <w:p>
      <w:pPr>
        <w:pStyle w:val="Heading3"/>
        <w:spacing w:before="300" w:after="160"/>
      </w:pPr>
      <w:r>
        <w:rPr>
          <w:rFonts w:ascii="Arial" w:cs="Arial" w:eastAsia="Arial" w:hAnsi="Arial"/>
        </w:rPr>
        <w:t xml:space="preserve">Parameter Justification</w:t>
      </w:r>
    </w:p>
    <w:p>
      <w:pPr>
        <w:pStyle w:val="ListParagraph"/>
        <w:numPr>
          <w:ilvl w:val="0"/>
          <w:numId w:val="2"/>
        </w:numPr>
        <w:spacing w:after="80"/>
      </w:pPr>
      <w:r>
        <w:rPr>
          <w:rFonts w:ascii="Arial" w:cs="Arial" w:eastAsia="Arial" w:hAnsi="Arial"/>
          <w:b/>
          <w:bCs/>
          <w:sz w:val="22"/>
          <w:szCs w:val="22"/>
        </w:rPr>
        <w:t xml:space="preserve">Antenna gain (4.5 dBi): </w:t>
      </w:r>
      <w:r>
        <w:rPr>
          <w:rFonts w:ascii="Arial" w:cs="Arial" w:eastAsia="Arial" w:hAnsi="Arial"/>
          <w:sz w:val="22"/>
          <w:szCs w:val="22"/>
        </w:rPr>
        <w:t xml:space="preserve">typical of a dual-band collinear such as a Diamond X-50. A simple J-pole or ground plane would be 2–3 dBi; a higher-end collinear (X-200, X-300) would be 6+ dBi.</w:t>
      </w:r>
    </w:p>
    <w:p>
      <w:pPr>
        <w:pStyle w:val="ListParagraph"/>
        <w:numPr>
          <w:ilvl w:val="0"/>
          <w:numId w:val="2"/>
        </w:numPr>
        <w:spacing w:after="80"/>
      </w:pPr>
      <w:r>
        <w:rPr>
          <w:rFonts w:ascii="Arial" w:cs="Arial" w:eastAsia="Arial" w:hAnsi="Arial"/>
          <w:b/>
          <w:bCs/>
          <w:sz w:val="22"/>
          <w:szCs w:val="22"/>
        </w:rPr>
        <w:t xml:space="preserve">Antenna height (15 ft): </w:t>
      </w:r>
      <w:r>
        <w:rPr>
          <w:rFonts w:ascii="Arial" w:cs="Arial" w:eastAsia="Arial" w:hAnsi="Arial"/>
          <w:sz w:val="22"/>
          <w:szCs w:val="22"/>
        </w:rPr>
        <w:t xml:space="preserve">assumes a mast on the roof or side of the fire station. Adjust upward if a tower is available. Note: antenna height is now used for absolute elevation (ground + mast) in terrain calculations, so higher masts provide both better Hata prediction and better line-of-sight clearance.</w:t>
      </w:r>
    </w:p>
    <w:p>
      <w:pPr>
        <w:pStyle w:val="ListParagraph"/>
        <w:numPr>
          <w:ilvl w:val="0"/>
          <w:numId w:val="2"/>
        </w:numPr>
        <w:spacing w:after="80"/>
      </w:pPr>
      <w:r>
        <w:rPr>
          <w:rFonts w:ascii="Arial" w:cs="Arial" w:eastAsia="Arial" w:hAnsi="Arial"/>
          <w:b/>
          <w:bCs/>
          <w:sz w:val="22"/>
          <w:szCs w:val="22"/>
        </w:rPr>
        <w:t xml:space="preserve">Cable loss (1.5 dB): </w:t>
      </w:r>
      <w:r>
        <w:rPr>
          <w:rFonts w:ascii="Arial" w:cs="Arial" w:eastAsia="Arial" w:hAnsi="Arial"/>
          <w:sz w:val="22"/>
          <w:szCs w:val="22"/>
        </w:rPr>
        <w:t xml:space="preserve">accounts for approximately 40 ft of RG-8X coax at 146 MHz (~3.5 dB/100 ft) plus two PL-259 connectors. With LMR-400, this drops to about 0.8 dB.</w:t>
      </w:r>
    </w:p>
    <w:p>
      <w:pPr>
        <w:pStyle w:val="Heading2"/>
        <w:spacing w:before="300" w:after="160"/>
      </w:pPr>
      <w:r>
        <w:rPr>
          <w:rFonts w:ascii="Arial" w:cs="Arial" w:eastAsia="Arial" w:hAnsi="Arial"/>
        </w:rPr>
        <w:t xml:space="preserve">3.2. Radio in the Field</w:t>
      </w:r>
    </w:p>
    <w:p>
      <w:pPr>
        <w:spacing w:after="160"/>
      </w:pPr>
      <w:r>
        <w:rPr>
          <w:rFonts w:ascii="Arial" w:cs="Arial" w:eastAsia="Arial" w:hAnsi="Arial"/>
          <w:sz w:val="22"/>
          <w:szCs w:val="22"/>
        </w:rPr>
        <w:t xml:space="preserve">This section appears only in Field Coverage mode. It configures the radio on the other end of the link.</w:t>
      </w:r>
    </w:p>
    <w:p>
      <w:pPr>
        <w:pStyle w:val="Heading3"/>
        <w:spacing w:before="300" w:after="160"/>
      </w:pPr>
      <w:r>
        <w:rPr>
          <w:rFonts w:ascii="Arial" w:cs="Arial" w:eastAsia="Arial" w:hAnsi="Arial"/>
        </w:rPr>
        <w:t xml:space="preserve">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17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Preset</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TX Power</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Ant. Gain</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Ant. Height</w:t>
            </w:r>
          </w:p>
        </w:tc>
        <w:tc>
          <w:tcPr>
            <w:tcW w:type="dxa" w:w="1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 5W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dBi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rubber duck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HT 8W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dBi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Aftermarket whip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 25W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dBi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Mag-mount on car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Mobile 50W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dBi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Mag-mount on car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Base 50W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dBi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station</w:t>
            </w:r>
          </w:p>
        </w:tc>
      </w:tr>
    </w:tbl>
    <w:p>
      <w:pPr>
        <w:spacing w:after="160"/>
      </w:pPr>
    </w:p>
    <w:p>
      <w:pPr>
        <w:pStyle w:val="Heading3"/>
        <w:spacing w:before="300" w:after="160"/>
      </w:pPr>
      <w:r>
        <w:rPr>
          <w:rFonts w:ascii="Arial" w:cs="Arial" w:eastAsia="Arial" w:hAnsi="Arial"/>
        </w:rPr>
        <w:t xml:space="preserve">Parameter Justification</w:t>
      </w:r>
    </w:p>
    <w:p>
      <w:pPr>
        <w:pStyle w:val="ListParagraph"/>
        <w:numPr>
          <w:ilvl w:val="0"/>
          <w:numId w:val="2"/>
        </w:numPr>
        <w:spacing w:after="80"/>
      </w:pPr>
      <w:r>
        <w:rPr>
          <w:rFonts w:ascii="Arial" w:cs="Arial" w:eastAsia="Arial" w:hAnsi="Arial"/>
          <w:b/>
          <w:bCs/>
          <w:sz w:val="22"/>
          <w:szCs w:val="22"/>
        </w:rPr>
        <w:t xml:space="preserve">HT 5W at -1.0 dBi: </w:t>
      </w:r>
      <w:r>
        <w:rPr>
          <w:rFonts w:ascii="Arial" w:cs="Arial" w:eastAsia="Arial" w:hAnsi="Arial"/>
          <w:sz w:val="22"/>
          <w:szCs w:val="22"/>
        </w:rPr>
        <w:t xml:space="preserve">a stock rubber duck antenna (Baofeng, Kenwood, etc.) typically measures -1 to -2 dBi. The -1 dBi default represents a conservative grab-and-go scenario with no antenna upgrade.</w:t>
      </w:r>
    </w:p>
    <w:p>
      <w:pPr>
        <w:pStyle w:val="ListParagraph"/>
        <w:numPr>
          <w:ilvl w:val="0"/>
          <w:numId w:val="2"/>
        </w:numPr>
        <w:spacing w:after="80"/>
      </w:pPr>
      <w:r>
        <w:rPr>
          <w:rFonts w:ascii="Arial" w:cs="Arial" w:eastAsia="Arial" w:hAnsi="Arial"/>
          <w:b/>
          <w:bCs/>
          <w:sz w:val="22"/>
          <w:szCs w:val="22"/>
        </w:rPr>
        <w:t xml:space="preserve">HT 8W at 0.0 dBi: </w:t>
      </w:r>
      <w:r>
        <w:rPr>
          <w:rFonts w:ascii="Arial" w:cs="Arial" w:eastAsia="Arial" w:hAnsi="Arial"/>
          <w:sz w:val="22"/>
          <w:szCs w:val="22"/>
        </w:rPr>
        <w:t xml:space="preserve">an operator running 8W likely has an aftermarket whip such as a Nagoya NA-771 (0 to +2 dBi).</w:t>
      </w:r>
    </w:p>
    <w:p>
      <w:pPr>
        <w:pStyle w:val="ListParagraph"/>
        <w:numPr>
          <w:ilvl w:val="0"/>
          <w:numId w:val="2"/>
        </w:numPr>
        <w:spacing w:after="80"/>
      </w:pPr>
      <w:r>
        <w:rPr>
          <w:rFonts w:ascii="Arial" w:cs="Arial" w:eastAsia="Arial" w:hAnsi="Arial"/>
          <w:b/>
          <w:bCs/>
          <w:sz w:val="22"/>
          <w:szCs w:val="22"/>
        </w:rPr>
        <w:t xml:space="preserve">Mobile at 3.0 dBi: </w:t>
      </w:r>
      <w:r>
        <w:rPr>
          <w:rFonts w:ascii="Arial" w:cs="Arial" w:eastAsia="Arial" w:hAnsi="Arial"/>
          <w:sz w:val="22"/>
          <w:szCs w:val="22"/>
        </w:rPr>
        <w:t xml:space="preserve">a 5/8-wave mag-mount on a car roof typically achieves 3–4 dBi. The 5 ft antenna height accounts for the roof of a vehicle.</w:t>
      </w:r>
    </w:p>
    <w:p>
      <w:pPr>
        <w:pStyle w:val="ListParagraph"/>
        <w:numPr>
          <w:ilvl w:val="0"/>
          <w:numId w:val="2"/>
        </w:numPr>
        <w:spacing w:after="80"/>
      </w:pPr>
      <w:r>
        <w:rPr>
          <w:rFonts w:ascii="Arial" w:cs="Arial" w:eastAsia="Arial" w:hAnsi="Arial"/>
          <w:b/>
          <w:bCs/>
          <w:sz w:val="22"/>
          <w:szCs w:val="22"/>
        </w:rPr>
        <w:t xml:space="preserve">Base 50W at 4.5 dBi: </w:t>
      </w:r>
      <w:r>
        <w:rPr>
          <w:rFonts w:ascii="Arial" w:cs="Arial" w:eastAsia="Arial" w:hAnsi="Arial"/>
          <w:sz w:val="22"/>
          <w:szCs w:val="22"/>
        </w:rPr>
        <w:t xml:space="preserve">matches the fire station configuration for base-to-base analysis.</w:t>
      </w:r>
    </w:p>
    <w:p>
      <w:r>
        <w:br w:type="page"/>
      </w:r>
    </w:p>
    <w:p>
      <w:pPr>
        <w:pStyle w:val="Heading1"/>
        <w:spacing w:before="300" w:after="160"/>
      </w:pPr>
      <w:r>
        <w:rPr>
          <w:rFonts w:ascii="Arial" w:cs="Arial" w:eastAsia="Arial" w:hAnsi="Arial"/>
        </w:rPr>
        <w:t xml:space="preserve">4. Propagation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Frequency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 MHz</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of the 2-meter amateur band, the primary VHF EMCOMM allocation.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Fade Margin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Log-normal shadowing in suburban VHF has σ ≈ 6–8 dB. A 10 dB margin provides approximately 90% reliability at the edge of coverage.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RX Sensitivity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 dBm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 planning figure. Modern VHF radios spec -118 to -122 dBm at 12 dB SINAD, but urban desense, intermod, and aging components degrade real-world performance.</w:t>
            </w:r>
          </w:p>
        </w:tc>
      </w:tr>
    </w:tbl>
    <w:p>
      <w:pPr>
        <w:spacing w:after="160"/>
      </w:pPr>
    </w:p>
    <w:p>
      <w:pPr>
        <w:pStyle w:val="Heading2"/>
        <w:spacing w:before="300" w:after="160"/>
      </w:pPr>
      <w:r>
        <w:rPr>
          <w:rFonts w:ascii="Arial" w:cs="Arial" w:eastAsia="Arial" w:hAnsi="Arial"/>
        </w:rPr>
        <w:t xml:space="preserve">4.1. Range Derating (25% Correction)</w:t>
      </w:r>
    </w:p>
    <w:p>
      <w:pPr>
        <w:spacing w:after="160"/>
      </w:pPr>
      <w:r>
        <w:rPr>
          <w:rFonts w:ascii="Arial" w:cs="Arial" w:eastAsia="Arial" w:hAnsi="Arial"/>
          <w:sz w:val="22"/>
          <w:szCs w:val="22"/>
        </w:rPr>
        <w:t xml:space="preserve">A </w:t>
      </w:r>
      <w:r>
        <w:rPr>
          <w:rFonts w:ascii="Arial" w:cs="Arial" w:eastAsia="Arial" w:hAnsi="Arial"/>
          <w:b/>
          <w:bCs/>
          <w:sz w:val="22"/>
          <w:szCs w:val="22"/>
        </w:rPr>
        <w:t xml:space="preserve">Derate 25%</w:t>
      </w:r>
      <w:r>
        <w:rPr>
          <w:rFonts w:ascii="Arial" w:cs="Arial" w:eastAsia="Arial" w:hAnsi="Arial"/>
          <w:sz w:val="22"/>
          <w:szCs w:val="22"/>
        </w:rPr>
        <w:t xml:space="preserve"> checkbox is located below the propagation parameters. When enabled, it applies a 5 dB penalty to all path loss calculations, which is mathematically equivalent to reducing predicted ranges by approximately 25%.</w:t>
      </w:r>
    </w:p>
    <w:p>
      <w:pPr>
        <w:spacing w:after="160"/>
      </w:pPr>
      <w:r>
        <w:rPr>
          <w:rFonts w:ascii="Arial" w:cs="Arial" w:eastAsia="Arial" w:hAnsi="Arial"/>
          <w:b/>
          <w:bCs/>
          <w:sz w:val="22"/>
          <w:szCs w:val="22"/>
        </w:rPr>
        <w:t xml:space="preserve">Why 5 dB equals 25% range reduction: </w:t>
      </w:r>
      <w:r>
        <w:rPr>
          <w:rFonts w:ascii="Arial" w:cs="Arial" w:eastAsia="Arial" w:hAnsi="Arial"/>
          <w:sz w:val="22"/>
          <w:szCs w:val="22"/>
        </w:rPr>
        <w:t xml:space="preserve">the Hata model’s distance exponent at these frequencies and antenna heights is approximately 40.6 dB per decade of distance. A 5 dB adder shifts the path loss curve so that the maximum range decreases by a factor of 0.75: 40.6 × log₁₀(1/0.75) ≈ 5.1 dB.</w:t>
      </w:r>
    </w:p>
    <w:p>
      <w:pPr>
        <w:spacing w:after="160"/>
      </w:pPr>
      <w:r>
        <w:rPr>
          <w:rFonts w:ascii="Arial" w:cs="Arial" w:eastAsia="Arial" w:hAnsi="Arial"/>
          <w:sz w:val="22"/>
          <w:szCs w:val="22"/>
        </w:rPr>
        <w:t xml:space="preserve">When derating is active, the map info panel changes from “Hata + Terrain” (teal) to “Hata + Terrain (-25%)” (amber). All coverage polygons shrink, all link margins decrease by 5 dB, and simplex repeater relay calculations are also affected.</w:t>
      </w:r>
    </w:p>
    <w:p>
      <w:pPr>
        <w:spacing w:after="160"/>
      </w:pPr>
      <w:r>
        <w:rPr>
          <w:rFonts w:ascii="Arial" w:cs="Arial" w:eastAsia="Arial" w:hAnsi="Arial"/>
          <w:b/>
          <w:bCs/>
          <w:sz w:val="22"/>
          <w:szCs w:val="22"/>
        </w:rPr>
        <w:t xml:space="preserve">Recommendation: </w:t>
      </w:r>
      <w:r>
        <w:rPr>
          <w:rFonts w:ascii="Arial" w:cs="Arial" w:eastAsia="Arial" w:hAnsi="Arial"/>
          <w:sz w:val="22"/>
          <w:szCs w:val="22"/>
        </w:rPr>
        <w:t xml:space="preserve">use derated values as the primary planning figures. Even with terrain corrections, the Hata model is extrapolated below its validated antenna height range, and building clutter, vegetation, and indoor penetration are not modeled.</w:t>
      </w:r>
    </w:p>
    <w:p>
      <w:r>
        <w:br w:type="page"/>
      </w:r>
    </w:p>
    <w:p>
      <w:pPr>
        <w:pStyle w:val="Heading1"/>
        <w:spacing w:before="300" w:after="160"/>
      </w:pPr>
      <w:r>
        <w:rPr>
          <w:rFonts w:ascii="Arial" w:cs="Arial" w:eastAsia="Arial" w:hAnsi="Arial"/>
        </w:rPr>
        <w:t xml:space="preserve">5. Terrain Engine</w:t>
      </w:r>
    </w:p>
    <w:p>
      <w:pPr>
        <w:pStyle w:val="Heading2"/>
        <w:spacing w:before="300" w:after="160"/>
      </w:pPr>
      <w:r>
        <w:rPr>
          <w:rFonts w:ascii="Arial" w:cs="Arial" w:eastAsia="Arial" w:hAnsi="Arial"/>
        </w:rPr>
        <w:t xml:space="preserve">5.1. Digital Elevation Model</w:t>
      </w:r>
    </w:p>
    <w:p>
      <w:pPr>
        <w:spacing w:after="160"/>
      </w:pPr>
      <w:r>
        <w:rPr>
          <w:rFonts w:ascii="Arial" w:cs="Arial" w:eastAsia="Arial" w:hAnsi="Arial"/>
          <w:sz w:val="22"/>
          <w:szCs w:val="22"/>
        </w:rPr>
        <w:t xml:space="preserve">The DEM is embedded directly in the HTML file as a JavaScript array of 13,431 elevation values. This eliminates runtime API dependencies and ensures instant terrain availability. The grid was generated from USGS NED-referenced control points using inverse-distance-weighted (IDW) interpolation with Gaussian peak injection for sharp features like Stone Mountain.</w:t>
      </w:r>
    </w:p>
    <w:p>
      <w:pPr>
        <w:spacing w:after="160"/>
      </w:pPr>
      <w:r>
        <w:rPr>
          <w:rFonts w:ascii="Arial" w:cs="Arial" w:eastAsia="Arial" w:hAnsi="Arial"/>
          <w:sz w:val="22"/>
          <w:szCs w:val="22"/>
        </w:rPr>
        <w:t xml:space="preserve">Grid specifications: 111 rows × 121 columns at 0.01° spacing (~1.1 km), covering approximately 33.25–34.35°N by 84.75–83.55°W. This spans 13 counties: DeKalb, Gwinnett, Fulton (north and central), Cobb, Clayton, Henry, Rockdale, Newton, Forsyth, Walton, Barrow, Fayette, and Douglas. The ~35-mile radius from DeKalb’s center ensures that even the largest coverage polygons (Stone Mountain with ~250 m effective height) stay within the DEM boundary.</w:t>
      </w:r>
    </w:p>
    <w:p>
      <w:pPr>
        <w:spacing w:after="160"/>
      </w:pPr>
      <w:r>
        <w:rPr>
          <w:rFonts w:ascii="Arial" w:cs="Arial" w:eastAsia="Arial" w:hAnsi="Arial"/>
          <w:sz w:val="22"/>
          <w:szCs w:val="22"/>
        </w:rPr>
        <w:t xml:space="preserve">Elevation at any point is computed by bilinear interpolation of the four nearest grid points. Key reference elevations: Stone Mountain summit 1,631 ft (real: 1,686 ft), Dunwoody 1,114 ft, Decatur 1,001 ft, South River valley 805 ft, Chattahoochee River valley 823 ft.</w:t>
      </w:r>
    </w:p>
    <w:p>
      <w:pPr>
        <w:pStyle w:val="Heading2"/>
        <w:spacing w:before="300" w:after="160"/>
      </w:pPr>
      <w:r>
        <w:rPr>
          <w:rFonts w:ascii="Arial" w:cs="Arial" w:eastAsia="Arial" w:hAnsi="Arial"/>
        </w:rPr>
        <w:t xml:space="preserve">5.2. Effective Antenna Height</w:t>
      </w:r>
    </w:p>
    <w:p>
      <w:pPr>
        <w:spacing w:after="160"/>
      </w:pPr>
      <w:r>
        <w:rPr>
          <w:rFonts w:ascii="Arial" w:cs="Arial" w:eastAsia="Arial" w:hAnsi="Arial"/>
          <w:sz w:val="22"/>
          <w:szCs w:val="22"/>
        </w:rPr>
        <w:t xml:space="preserve">A critical enhancement over the basic Hata model. When a station sits on higher ground than its target, the Hata base station height parameter (hb) is increased by the elevation difference:</w:t>
      </w:r>
    </w:p>
    <w:p>
      <w:pPr>
        <w:spacing w:after="160"/>
      </w:pPr>
      <w:r>
        <w:rPr>
          <w:rFonts w:ascii="Arial" w:cs="Arial" w:eastAsia="Arial" w:hAnsi="Arial"/>
          <w:b/>
          <w:bCs/>
          <w:sz w:val="22"/>
          <w:szCs w:val="22"/>
        </w:rPr>
        <w:t xml:space="preserve">hb_eff = antenna_mast_height + (station_ground_elev − target_ground_elev)</w:t>
      </w:r>
    </w:p>
    <w:p>
      <w:pPr>
        <w:spacing w:after="160"/>
      </w:pPr>
      <w:r>
        <w:rPr>
          <w:rFonts w:ascii="Arial" w:cs="Arial" w:eastAsia="Arial" w:hAnsi="Arial"/>
          <w:sz w:val="22"/>
          <w:szCs w:val="22"/>
        </w:rPr>
        <w:t xml:space="preserve">This is clamped to a minimum of the raw mast height (so elevation disadvantage never reduces hb below physical reality) and a maximum of 300 m (the Hata model’s validated upper bound).</w:t>
      </w:r>
    </w:p>
    <w:p>
      <w:pPr>
        <w:spacing w:after="160"/>
      </w:pPr>
      <w:r>
        <w:rPr>
          <w:rFonts w:ascii="Arial" w:cs="Arial" w:eastAsia="Arial" w:hAnsi="Arial"/>
          <w:sz w:val="22"/>
          <w:szCs w:val="22"/>
        </w:rPr>
        <w:t xml:space="preserve">The effect is dramatic for elevated sites. Stone Mountain summit (513 m ground + 4.57 m mast) communicating with a station at 290 m ground elevation produces hb_eff = 4.57 + (513 − 290) = 228 m. This reduces the Hata distance exponent from ~40.6 dB/decade (at 4.57 m) to ~30 dB/decade (at 228 m), nearly doubling the predicted range. For a normal fire station at 290 m ground communicating with a nearby point also at ~290 m, hb_eff remains 4.57 m—completely unchanged.</w:t>
      </w:r>
    </w:p>
    <w:p>
      <w:pPr>
        <w:spacing w:after="160"/>
      </w:pPr>
      <w:r>
        <w:rPr>
          <w:rFonts w:ascii="Arial" w:cs="Arial" w:eastAsia="Arial" w:hAnsi="Arial"/>
          <w:sz w:val="22"/>
          <w:szCs w:val="22"/>
        </w:rPr>
        <w:t xml:space="preserve">For station-to-station links, effective height is computed from both directions. The higher effective height is used as the Hata hb parameter and the lower as hm, producing a symmetric result regardless of which station is designated TX or RX.</w:t>
      </w:r>
    </w:p>
    <w:p>
      <w:pPr>
        <w:pStyle w:val="Heading2"/>
        <w:spacing w:before="300" w:after="160"/>
      </w:pPr>
      <w:r>
        <w:rPr>
          <w:rFonts w:ascii="Arial" w:cs="Arial" w:eastAsia="Arial" w:hAnsi="Arial"/>
        </w:rPr>
        <w:t xml:space="preserve">5.3. Terrain Profile Analysis</w:t>
      </w:r>
    </w:p>
    <w:p>
      <w:pPr>
        <w:spacing w:after="160"/>
      </w:pPr>
      <w:r>
        <w:rPr>
          <w:rFonts w:ascii="Arial" w:cs="Arial" w:eastAsia="Arial" w:hAnsi="Arial"/>
          <w:sz w:val="22"/>
          <w:szCs w:val="22"/>
        </w:rPr>
        <w:t xml:space="preserve">For every propagation path, the engine samples 20 elevation points (50 in Path Diagnostic mode) along the great-circle route. At each sample point, it computes:</w:t>
      </w:r>
    </w:p>
    <w:p>
      <w:pPr>
        <w:pStyle w:val="ListParagraph"/>
        <w:numPr>
          <w:ilvl w:val="0"/>
          <w:numId w:val="3"/>
        </w:numPr>
        <w:spacing w:after="80"/>
      </w:pPr>
      <w:r>
        <w:rPr>
          <w:rFonts w:ascii="Arial" w:cs="Arial" w:eastAsia="Arial" w:hAnsi="Arial"/>
          <w:sz w:val="22"/>
          <w:szCs w:val="22"/>
        </w:rPr>
        <w:t xml:space="preserve">The line-of-sight (LOS) height: a straight line from the TX antenna tip (ground elevation + antenna height) to the RX antenna tip</w:t>
      </w:r>
    </w:p>
    <w:p>
      <w:pPr>
        <w:pStyle w:val="ListParagraph"/>
        <w:numPr>
          <w:ilvl w:val="0"/>
          <w:numId w:val="3"/>
        </w:numPr>
        <w:spacing w:after="80"/>
      </w:pPr>
      <w:r>
        <w:rPr>
          <w:rFonts w:ascii="Arial" w:cs="Arial" w:eastAsia="Arial" w:hAnsi="Arial"/>
          <w:sz w:val="22"/>
          <w:szCs w:val="22"/>
        </w:rPr>
        <w:t xml:space="preserve">The terrain clearance: how far the LOS line clears the ground at that point</w:t>
      </w:r>
    </w:p>
    <w:p>
      <w:pPr>
        <w:pStyle w:val="ListParagraph"/>
        <w:numPr>
          <w:ilvl w:val="0"/>
          <w:numId w:val="3"/>
        </w:numPr>
        <w:spacing w:after="80"/>
      </w:pPr>
      <w:r>
        <w:rPr>
          <w:rFonts w:ascii="Arial" w:cs="Arial" w:eastAsia="Arial" w:hAnsi="Arial"/>
          <w:sz w:val="22"/>
          <w:szCs w:val="22"/>
        </w:rPr>
        <w:t xml:space="preserve">The first Fresnel zone radius: at 146 MHz and typical path distances, this is 20–40 ft at midpath, meaning even modest terrain features can intrude into the Fresnel zone</w:t>
      </w:r>
    </w:p>
    <w:p>
      <w:pPr>
        <w:pStyle w:val="Heading2"/>
        <w:spacing w:before="300" w:after="160"/>
      </w:pPr>
      <w:r>
        <w:rPr>
          <w:rFonts w:ascii="Arial" w:cs="Arial" w:eastAsia="Arial" w:hAnsi="Arial"/>
        </w:rPr>
        <w:t xml:space="preserve">5.4. Diffraction Loss Calculation</w:t>
      </w:r>
    </w:p>
    <w:p>
      <w:pPr>
        <w:spacing w:after="160"/>
      </w:pPr>
      <w:r>
        <w:rPr>
          <w:rFonts w:ascii="Arial" w:cs="Arial" w:eastAsia="Arial" w:hAnsi="Arial"/>
          <w:sz w:val="22"/>
          <w:szCs w:val="22"/>
        </w:rPr>
        <w:t xml:space="preserve">Based on the terrain profile, three outcomes are possible at each path:</w:t>
      </w:r>
    </w:p>
    <w:p>
      <w:pPr>
        <w:pStyle w:val="ListParagraph"/>
        <w:numPr>
          <w:ilvl w:val="0"/>
          <w:numId w:val="2"/>
        </w:numPr>
        <w:spacing w:after="80"/>
      </w:pPr>
      <w:r>
        <w:rPr>
          <w:rFonts w:ascii="Arial" w:cs="Arial" w:eastAsia="Arial" w:hAnsi="Arial"/>
          <w:b/>
          <w:bCs/>
          <w:sz w:val="22"/>
          <w:szCs w:val="22"/>
        </w:rPr>
        <w:t xml:space="preserve">Clear LOS (Fresnel parameter v &lt; -0.7): </w:t>
      </w:r>
      <w:r>
        <w:rPr>
          <w:rFonts w:ascii="Arial" w:cs="Arial" w:eastAsia="Arial" w:hAnsi="Arial"/>
          <w:sz w:val="22"/>
          <w:szCs w:val="22"/>
        </w:rPr>
        <w:t xml:space="preserve">the terrain is well below the LOS line with the first Fresnel zone fully clear. No additional terrain loss is applied; the Hata path loss alone governs the link.</w:t>
      </w:r>
    </w:p>
    <w:p>
      <w:pPr>
        <w:pStyle w:val="ListParagraph"/>
        <w:numPr>
          <w:ilvl w:val="0"/>
          <w:numId w:val="2"/>
        </w:numPr>
        <w:spacing w:after="80"/>
      </w:pPr>
      <w:r>
        <w:rPr>
          <w:rFonts w:ascii="Arial" w:cs="Arial" w:eastAsia="Arial" w:hAnsi="Arial"/>
          <w:b/>
          <w:bCs/>
          <w:sz w:val="22"/>
          <w:szCs w:val="22"/>
        </w:rPr>
        <w:t xml:space="preserve">Fresnel intrusion (-0.7 &lt; v &lt; 0): </w:t>
      </w:r>
      <w:r>
        <w:rPr>
          <w:rFonts w:ascii="Arial" w:cs="Arial" w:eastAsia="Arial" w:hAnsi="Arial"/>
          <w:sz w:val="22"/>
          <w:szCs w:val="22"/>
        </w:rPr>
        <w:t xml:space="preserve">the LOS line clears the terrain, but the first Fresnel zone is partially blocked by a ridge or hill. A graduated penalty of 0–6 dB is applied, proportional to the degree of intrusion.</w:t>
      </w:r>
    </w:p>
    <w:p>
      <w:pPr>
        <w:pStyle w:val="ListParagraph"/>
        <w:numPr>
          <w:ilvl w:val="0"/>
          <w:numId w:val="2"/>
        </w:numPr>
        <w:spacing w:after="80"/>
      </w:pPr>
      <w:r>
        <w:rPr>
          <w:rFonts w:ascii="Arial" w:cs="Arial" w:eastAsia="Arial" w:hAnsi="Arial"/>
          <w:b/>
          <w:bCs/>
          <w:sz w:val="22"/>
          <w:szCs w:val="22"/>
        </w:rPr>
        <w:t xml:space="preserve">Obstructed (v &gt; 0): </w:t>
      </w:r>
      <w:r>
        <w:rPr>
          <w:rFonts w:ascii="Arial" w:cs="Arial" w:eastAsia="Arial" w:hAnsi="Arial"/>
          <w:sz w:val="22"/>
          <w:szCs w:val="22"/>
        </w:rPr>
        <w:t xml:space="preserve">the terrain breaks the line of sight entirely. The Bullington single knife-edge diffraction model is applied, typically producing 6–25 dB of loss (capped at 30 dB). Importantly, an obstructed LOS does not mean a failed link—VHF signals diffract well, and the link budget often has sufficient margin to absorb 10–15 dB of diffraction loss.</w:t>
      </w:r>
    </w:p>
    <w:p>
      <w:pPr>
        <w:spacing w:after="160"/>
      </w:pPr>
      <w:r>
        <w:rPr>
          <w:rFonts w:ascii="Arial" w:cs="Arial" w:eastAsia="Arial" w:hAnsi="Arial"/>
          <w:sz w:val="22"/>
          <w:szCs w:val="22"/>
        </w:rPr>
        <w:t xml:space="preserve">The terrain loss is added to the Hata suburban path loss. Points outside the DEM grid boundary receive no terrain correction (equivalent to flat-earth Hata), with the effective height also defaulting to the raw mast height.</w:t>
      </w:r>
    </w:p>
    <w:p>
      <w:r>
        <w:br w:type="page"/>
      </w:r>
    </w:p>
    <w:p>
      <w:pPr>
        <w:pStyle w:val="Heading1"/>
        <w:spacing w:before="300" w:after="160"/>
      </w:pPr>
      <w:r>
        <w:rPr>
          <w:rFonts w:ascii="Arial" w:cs="Arial" w:eastAsia="Arial" w:hAnsi="Arial"/>
        </w:rPr>
        <w:t xml:space="preserve">6. Field Coverage Mode</w:t>
      </w:r>
    </w:p>
    <w:p>
      <w:pPr>
        <w:pStyle w:val="Heading2"/>
        <w:spacing w:before="300" w:after="160"/>
      </w:pPr>
      <w:r>
        <w:rPr>
          <w:rFonts w:ascii="Arial" w:cs="Arial" w:eastAsia="Arial" w:hAnsi="Arial"/>
        </w:rPr>
        <w:t xml:space="preserve">6.1. Link Analysis</w:t>
      </w:r>
    </w:p>
    <w:p>
      <w:pPr>
        <w:spacing w:after="160"/>
      </w:pPr>
      <w:r>
        <w:rPr>
          <w:rFonts w:ascii="Arial" w:cs="Arial" w:eastAsia="Arial" w:hAnsi="Arial"/>
          <w:sz w:val="22"/>
          <w:szCs w:val="22"/>
        </w:rPr>
        <w:t xml:space="preserve">For each selected station, the tool computes two separate links:</w:t>
      </w:r>
    </w:p>
    <w:p>
      <w:pPr>
        <w:pStyle w:val="ListParagraph"/>
        <w:numPr>
          <w:ilvl w:val="0"/>
          <w:numId w:val="2"/>
        </w:numPr>
        <w:spacing w:after="80"/>
      </w:pPr>
      <w:r>
        <w:rPr>
          <w:rFonts w:ascii="Arial" w:cs="Arial" w:eastAsia="Arial" w:hAnsi="Arial"/>
          <w:b/>
          <w:bCs/>
          <w:sz w:val="22"/>
          <w:szCs w:val="22"/>
        </w:rPr>
        <w:t xml:space="preserve">Forward link (Station → Field): </w:t>
      </w:r>
      <w:r>
        <w:rPr>
          <w:rFonts w:ascii="Arial" w:cs="Arial" w:eastAsia="Arial" w:hAnsi="Arial"/>
          <w:sz w:val="22"/>
          <w:szCs w:val="22"/>
        </w:rPr>
        <w:t xml:space="preserve">the fire station transmits, the field radio receives. Limited by the base station’s EIRP and the field radio’s receive sensitivity.</w:t>
      </w:r>
    </w:p>
    <w:p>
      <w:pPr>
        <w:pStyle w:val="ListParagraph"/>
        <w:numPr>
          <w:ilvl w:val="0"/>
          <w:numId w:val="2"/>
        </w:numPr>
        <w:spacing w:after="80"/>
      </w:pPr>
      <w:r>
        <w:rPr>
          <w:rFonts w:ascii="Arial" w:cs="Arial" w:eastAsia="Arial" w:hAnsi="Arial"/>
          <w:b/>
          <w:bCs/>
          <w:sz w:val="22"/>
          <w:szCs w:val="22"/>
        </w:rPr>
        <w:t xml:space="preserve">Reverse link (Field → Station): </w:t>
      </w:r>
      <w:r>
        <w:rPr>
          <w:rFonts w:ascii="Arial" w:cs="Arial" w:eastAsia="Arial" w:hAnsi="Arial"/>
          <w:sz w:val="22"/>
          <w:szCs w:val="22"/>
        </w:rPr>
        <w:t xml:space="preserve">the field radio transmits, the fire station receives. Limited by the field radio’s EIRP and the base station’s receive sensitivity.</w:t>
      </w:r>
    </w:p>
    <w:p>
      <w:pPr>
        <w:spacing w:after="160"/>
      </w:pPr>
      <w:r>
        <w:rPr>
          <w:rFonts w:ascii="Arial" w:cs="Arial" w:eastAsia="Arial" w:hAnsi="Arial"/>
          <w:b/>
          <w:bCs/>
          <w:sz w:val="22"/>
          <w:szCs w:val="22"/>
        </w:rPr>
        <w:t xml:space="preserve">Usable range</w:t>
      </w:r>
      <w:r>
        <w:rPr>
          <w:rFonts w:ascii="Arial" w:cs="Arial" w:eastAsia="Arial" w:hAnsi="Arial"/>
          <w:sz w:val="22"/>
          <w:szCs w:val="22"/>
        </w:rPr>
        <w:t xml:space="preserve"> is the minimum of the forward and reverse ranges. This is the maximum distance at which two-way communication is possible. In most scenarios with asymmetric power (e.g., 50W base vs. 5W HT), the reverse link is the bottleneck.</w:t>
      </w:r>
    </w:p>
    <w:p>
      <w:pPr>
        <w:pStyle w:val="Heading2"/>
        <w:spacing w:before="300" w:after="160"/>
      </w:pPr>
      <w:r>
        <w:rPr>
          <w:rFonts w:ascii="Arial" w:cs="Arial" w:eastAsia="Arial" w:hAnsi="Arial"/>
        </w:rPr>
        <w:t xml:space="preserve">6.2. Coverage Polygons</w:t>
      </w:r>
    </w:p>
    <w:p>
      <w:pPr>
        <w:spacing w:after="160"/>
      </w:pPr>
      <w:r>
        <w:rPr>
          <w:rFonts w:ascii="Arial" w:cs="Arial" w:eastAsia="Arial" w:hAnsi="Arial"/>
          <w:sz w:val="22"/>
          <w:szCs w:val="22"/>
        </w:rPr>
        <w:t xml:space="preserve">Instead of simple circles, coverage areas are rendered as irregular polygons that reflect terrain. The engine traces 36 radials outward from each station (one every 10° of bearing). Along each radial, it performs a binary search for the maximum range where the combined Hata + terrain loss still falls within the link budget. The terrain profile is evaluated at each candidate distance, so a hill at 3 miles on a given bearing will cut that radial short even if flat-earth Hata predicts 5 miles.</w:t>
      </w:r>
    </w:p>
    <w:p>
      <w:pPr>
        <w:spacing w:after="160"/>
      </w:pPr>
      <w:r>
        <w:rPr>
          <w:rFonts w:ascii="Arial" w:cs="Arial" w:eastAsia="Arial" w:hAnsi="Arial"/>
          <w:sz w:val="22"/>
          <w:szCs w:val="22"/>
        </w:rPr>
        <w:t xml:space="preserve">The 36 range points are connected to form the coverage polygon. This produces coverage shapes that visibly reach farther along open terrain corridors and contract behind hills. The table column labeled “Usable” with an asterisk (*) shows the average range across all 36 radials, giving a single terrain-aware number for each station.</w:t>
      </w:r>
    </w:p>
    <w:p>
      <w:pPr>
        <w:spacing w:after="160"/>
      </w:pPr>
      <w:r>
        <w:rPr>
          <w:rFonts w:ascii="Arial" w:cs="Arial" w:eastAsia="Arial" w:hAnsi="Arial"/>
          <w:sz w:val="22"/>
          <w:szCs w:val="22"/>
        </w:rPr>
        <w:t xml:space="preserve">Three display modes are available via the tabs:</w:t>
      </w:r>
    </w:p>
    <w:p>
      <w:pPr>
        <w:pStyle w:val="ListParagraph"/>
        <w:numPr>
          <w:ilvl w:val="0"/>
          <w:numId w:val="2"/>
        </w:numPr>
        <w:spacing w:after="80"/>
      </w:pPr>
      <w:r>
        <w:rPr>
          <w:rFonts w:ascii="Arial" w:cs="Arial" w:eastAsia="Arial" w:hAnsi="Arial"/>
          <w:b/>
          <w:bCs/>
          <w:sz w:val="22"/>
          <w:szCs w:val="22"/>
        </w:rPr>
        <w:t xml:space="preserve">Usable Range: </w:t>
      </w:r>
      <w:r>
        <w:rPr>
          <w:rFonts w:ascii="Arial" w:cs="Arial" w:eastAsia="Arial" w:hAnsi="Arial"/>
          <w:sz w:val="22"/>
          <w:szCs w:val="22"/>
        </w:rPr>
        <w:t xml:space="preserve">the conservative two-way range (default and recommended view).</w:t>
      </w:r>
    </w:p>
    <w:p>
      <w:pPr>
        <w:pStyle w:val="ListParagraph"/>
        <w:numPr>
          <w:ilvl w:val="0"/>
          <w:numId w:val="2"/>
        </w:numPr>
        <w:spacing w:after="80"/>
      </w:pPr>
      <w:r>
        <w:rPr>
          <w:rFonts w:ascii="Arial" w:cs="Arial" w:eastAsia="Arial" w:hAnsi="Arial"/>
          <w:b/>
          <w:bCs/>
          <w:sz w:val="22"/>
          <w:szCs w:val="22"/>
        </w:rPr>
        <w:t xml:space="preserve">Fwd (Sta→Field): </w:t>
      </w:r>
      <w:r>
        <w:rPr>
          <w:rFonts w:ascii="Arial" w:cs="Arial" w:eastAsia="Arial" w:hAnsi="Arial"/>
          <w:sz w:val="22"/>
          <w:szCs w:val="22"/>
        </w:rPr>
        <w:t xml:space="preserve">shows how far the station can transmit.</w:t>
      </w:r>
    </w:p>
    <w:p>
      <w:pPr>
        <w:pStyle w:val="ListParagraph"/>
        <w:numPr>
          <w:ilvl w:val="0"/>
          <w:numId w:val="2"/>
        </w:numPr>
        <w:spacing w:after="80"/>
      </w:pPr>
      <w:r>
        <w:rPr>
          <w:rFonts w:ascii="Arial" w:cs="Arial" w:eastAsia="Arial" w:hAnsi="Arial"/>
          <w:b/>
          <w:bCs/>
          <w:sz w:val="22"/>
          <w:szCs w:val="22"/>
        </w:rPr>
        <w:t xml:space="preserve">Rev (Field→Sta): </w:t>
      </w:r>
      <w:r>
        <w:rPr>
          <w:rFonts w:ascii="Arial" w:cs="Arial" w:eastAsia="Arial" w:hAnsi="Arial"/>
          <w:sz w:val="22"/>
          <w:szCs w:val="22"/>
        </w:rPr>
        <w:t xml:space="preserve">shows how far a field radio can reach the station.</w:t>
      </w:r>
    </w:p>
    <w:p>
      <w:pPr>
        <w:pStyle w:val="Heading2"/>
        <w:spacing w:before="300" w:after="160"/>
      </w:pPr>
      <w:r>
        <w:rPr>
          <w:rFonts w:ascii="Arial" w:cs="Arial" w:eastAsia="Arial" w:hAnsi="Arial"/>
        </w:rPr>
        <w:t xml:space="preserve">6.3. Simplex Repeater Zones</w:t>
      </w:r>
    </w:p>
    <w:p>
      <w:pPr>
        <w:spacing w:after="160"/>
      </w:pPr>
      <w:r>
        <w:rPr>
          <w:rFonts w:ascii="Arial" w:cs="Arial" w:eastAsia="Arial" w:hAnsi="Arial"/>
          <w:sz w:val="22"/>
          <w:szCs w:val="22"/>
        </w:rPr>
        <w:t xml:space="preserve">Stations designated as simplex repeaters display an additional solid purple polygon showing the terrain-aware relay zone. Any two field units inside this polygon can communicate through the simplex repeater. The zone shape is determined by the usable range (minimum of forward and reverse) along each radial, since a field unit must both reach the SR and hear the SR’s retransmission.</w:t>
      </w:r>
    </w:p>
    <w:p>
      <w:r>
        <w:br w:type="page"/>
      </w:r>
    </w:p>
    <w:p>
      <w:pPr>
        <w:pStyle w:val="Heading1"/>
        <w:spacing w:before="300" w:after="160"/>
      </w:pPr>
      <w:r>
        <w:rPr>
          <w:rFonts w:ascii="Arial" w:cs="Arial" w:eastAsia="Arial" w:hAnsi="Arial"/>
        </w:rPr>
        <w:t xml:space="preserve">7. Station-to-Station Link Mode</w:t>
      </w:r>
    </w:p>
    <w:p>
      <w:pPr>
        <w:pStyle w:val="Heading2"/>
        <w:spacing w:before="300" w:after="160"/>
      </w:pPr>
      <w:r>
        <w:rPr>
          <w:rFonts w:ascii="Arial" w:cs="Arial" w:eastAsia="Arial" w:hAnsi="Arial"/>
        </w:rPr>
        <w:t xml:space="preserve">7.1. Direct Links</w:t>
      </w:r>
    </w:p>
    <w:p>
      <w:pPr>
        <w:spacing w:after="160"/>
      </w:pPr>
      <w:r>
        <w:rPr>
          <w:rFonts w:ascii="Arial" w:cs="Arial" w:eastAsia="Arial" w:hAnsi="Arial"/>
          <w:sz w:val="22"/>
          <w:szCs w:val="22"/>
        </w:rPr>
        <w:t xml:space="preserve">For every pair of selected stations, the tool computes the link budget using the base station radio configuration for both ends. For each pair it calculates:</w:t>
      </w:r>
    </w:p>
    <w:p>
      <w:pPr>
        <w:pStyle w:val="ListParagraph"/>
        <w:numPr>
          <w:ilvl w:val="0"/>
          <w:numId w:val="2"/>
        </w:numPr>
        <w:spacing w:after="80"/>
      </w:pPr>
      <w:r>
        <w:rPr>
          <w:rFonts w:ascii="Arial" w:cs="Arial" w:eastAsia="Arial" w:hAnsi="Arial"/>
          <w:sz w:val="22"/>
          <w:szCs w:val="22"/>
        </w:rPr>
        <w:t xml:space="preserve">The great-circle distance between the two stations</w:t>
      </w:r>
    </w:p>
    <w:p>
      <w:pPr>
        <w:pStyle w:val="ListParagraph"/>
        <w:numPr>
          <w:ilvl w:val="0"/>
          <w:numId w:val="2"/>
        </w:numPr>
        <w:spacing w:after="80"/>
      </w:pPr>
      <w:r>
        <w:rPr>
          <w:rFonts w:ascii="Arial" w:cs="Arial" w:eastAsia="Arial" w:hAnsi="Arial"/>
          <w:sz w:val="22"/>
          <w:szCs w:val="22"/>
        </w:rPr>
        <w:t xml:space="preserve">The Hata suburban path loss at that distance</w:t>
      </w:r>
    </w:p>
    <w:p>
      <w:pPr>
        <w:pStyle w:val="ListParagraph"/>
        <w:numPr>
          <w:ilvl w:val="0"/>
          <w:numId w:val="2"/>
        </w:numPr>
        <w:spacing w:after="80"/>
      </w:pPr>
      <w:r>
        <w:rPr>
          <w:rFonts w:ascii="Arial" w:cs="Arial" w:eastAsia="Arial" w:hAnsi="Arial"/>
          <w:sz w:val="22"/>
          <w:szCs w:val="22"/>
        </w:rPr>
        <w:t xml:space="preserve">The terrain diffraction loss along the actual path between the two stations</w:t>
      </w:r>
    </w:p>
    <w:p>
      <w:pPr>
        <w:pStyle w:val="ListParagraph"/>
        <w:numPr>
          <w:ilvl w:val="0"/>
          <w:numId w:val="2"/>
        </w:numPr>
        <w:spacing w:after="80"/>
      </w:pPr>
      <w:r>
        <w:rPr>
          <w:rFonts w:ascii="Arial" w:cs="Arial" w:eastAsia="Arial" w:hAnsi="Arial"/>
          <w:sz w:val="22"/>
          <w:szCs w:val="22"/>
        </w:rPr>
        <w:t xml:space="preserve">The total path loss (Hata + terrain) and the resulting link margin</w:t>
      </w:r>
    </w:p>
    <w:p>
      <w:pPr>
        <w:spacing w:after="160"/>
      </w:pPr>
      <w:r>
        <w:rPr>
          <w:rFonts w:ascii="Arial" w:cs="Arial" w:eastAsia="Arial" w:hAnsi="Arial"/>
          <w:sz w:val="22"/>
          <w:szCs w:val="22"/>
        </w:rPr>
        <w:t xml:space="preserve">When terrain obstruction is significant, the margin column in the table shows the terrain penalty in parentheses (e.g., “+12 terrain”). This makes it clear which links are degraded by terrain versus which are simply too far.</w:t>
      </w:r>
    </w:p>
    <w:p>
      <w:pPr>
        <w:spacing w:after="160"/>
      </w:pPr>
      <w:r>
        <w:rPr>
          <w:rFonts w:ascii="Arial" w:cs="Arial" w:eastAsia="Arial" w:hAnsi="Arial"/>
          <w:sz w:val="22"/>
          <w:szCs w:val="22"/>
        </w:rPr>
        <w:t xml:space="preserve">Links are classified as:</w:t>
      </w:r>
    </w:p>
    <w:p>
      <w:pPr>
        <w:pStyle w:val="ListParagraph"/>
        <w:numPr>
          <w:ilvl w:val="0"/>
          <w:numId w:val="2"/>
        </w:numPr>
        <w:spacing w:after="80"/>
      </w:pPr>
      <w:r>
        <w:rPr>
          <w:rFonts w:ascii="Arial" w:cs="Arial" w:eastAsia="Arial" w:hAnsi="Arial"/>
          <w:b/>
          <w:bCs/>
          <w:sz w:val="22"/>
          <w:szCs w:val="22"/>
        </w:rPr>
        <w:t xml:space="preserve">Pass (≥6 dB margin): </w:t>
      </w:r>
      <w:r>
        <w:rPr>
          <w:rFonts w:ascii="Arial" w:cs="Arial" w:eastAsia="Arial" w:hAnsi="Arial"/>
          <w:sz w:val="22"/>
          <w:szCs w:val="22"/>
        </w:rPr>
        <w:t xml:space="preserve">reliable under normal conditions, shown as green lines on the map.</w:t>
      </w:r>
    </w:p>
    <w:p>
      <w:pPr>
        <w:pStyle w:val="ListParagraph"/>
        <w:numPr>
          <w:ilvl w:val="0"/>
          <w:numId w:val="2"/>
        </w:numPr>
        <w:spacing w:after="80"/>
      </w:pPr>
      <w:r>
        <w:rPr>
          <w:rFonts w:ascii="Arial" w:cs="Arial" w:eastAsia="Arial" w:hAnsi="Arial"/>
          <w:b/>
          <w:bCs/>
          <w:sz w:val="22"/>
          <w:szCs w:val="22"/>
        </w:rPr>
        <w:t xml:space="preserve">Marginal (0–6 dB margin): </w:t>
      </w:r>
      <w:r>
        <w:rPr>
          <w:rFonts w:ascii="Arial" w:cs="Arial" w:eastAsia="Arial" w:hAnsi="Arial"/>
          <w:sz w:val="22"/>
          <w:szCs w:val="22"/>
        </w:rPr>
        <w:t xml:space="preserve">may work in good conditions but unreliable for planning purposes, shown as amber lines.</w:t>
      </w:r>
    </w:p>
    <w:p>
      <w:pPr>
        <w:pStyle w:val="ListParagraph"/>
        <w:numPr>
          <w:ilvl w:val="0"/>
          <w:numId w:val="2"/>
        </w:numPr>
        <w:spacing w:after="80"/>
      </w:pPr>
      <w:r>
        <w:rPr>
          <w:rFonts w:ascii="Arial" w:cs="Arial" w:eastAsia="Arial" w:hAnsi="Arial"/>
          <w:b/>
          <w:bCs/>
          <w:sz w:val="22"/>
          <w:szCs w:val="22"/>
        </w:rPr>
        <w:t xml:space="preserve">Fail (&lt;0 dB margin): </w:t>
      </w:r>
      <w:r>
        <w:rPr>
          <w:rFonts w:ascii="Arial" w:cs="Arial" w:eastAsia="Arial" w:hAnsi="Arial"/>
          <w:sz w:val="22"/>
          <w:szCs w:val="22"/>
        </w:rPr>
        <w:t xml:space="preserve">the link budget is insufficient, shown as red lines.</w:t>
      </w:r>
    </w:p>
    <w:p>
      <w:pPr>
        <w:pStyle w:val="Heading2"/>
        <w:spacing w:before="300" w:after="160"/>
      </w:pPr>
      <w:r>
        <w:rPr>
          <w:rFonts w:ascii="Arial" w:cs="Arial" w:eastAsia="Arial" w:hAnsi="Arial"/>
        </w:rPr>
        <w:t xml:space="preserve">7.2. Simplex Repeater Relay</w:t>
      </w:r>
    </w:p>
    <w:p>
      <w:pPr>
        <w:spacing w:after="160"/>
      </w:pPr>
      <w:r>
        <w:rPr>
          <w:rFonts w:ascii="Arial" w:cs="Arial" w:eastAsia="Arial" w:hAnsi="Arial"/>
          <w:sz w:val="22"/>
          <w:szCs w:val="22"/>
        </w:rPr>
        <w:t xml:space="preserve">When a direct link fails or is marginal, the tool checks whether it can be relayed through any station designated as a simplex repeater (SR). A simplex repeater—such as the Argent Data Systems ADS-SR1—records an incoming transmission and retransmits it on the same frequency.</w:t>
      </w:r>
    </w:p>
    <w:p>
      <w:pPr>
        <w:spacing w:after="160"/>
      </w:pPr>
      <w:r>
        <w:rPr>
          <w:rFonts w:ascii="Arial" w:cs="Arial" w:eastAsia="Arial" w:hAnsi="Arial"/>
          <w:sz w:val="22"/>
          <w:szCs w:val="22"/>
        </w:rPr>
        <w:t xml:space="preserve">For a relay through Station R to work, both of these conditions must be met:</w:t>
      </w:r>
    </w:p>
    <w:p>
      <w:pPr>
        <w:pStyle w:val="ListParagraph"/>
        <w:numPr>
          <w:ilvl w:val="0"/>
          <w:numId w:val="3"/>
        </w:numPr>
        <w:spacing w:after="80"/>
      </w:pPr>
      <w:r>
        <w:rPr>
          <w:rFonts w:ascii="Arial" w:cs="Arial" w:eastAsia="Arial" w:hAnsi="Arial"/>
          <w:sz w:val="22"/>
          <w:szCs w:val="22"/>
        </w:rPr>
        <w:t xml:space="preserve">Station A must be able to communicate with Station R (both Hata and terrain losses must be within budget)</w:t>
      </w:r>
    </w:p>
    <w:p>
      <w:pPr>
        <w:pStyle w:val="ListParagraph"/>
        <w:numPr>
          <w:ilvl w:val="0"/>
          <w:numId w:val="3"/>
        </w:numPr>
        <w:spacing w:after="80"/>
      </w:pPr>
      <w:r>
        <w:rPr>
          <w:rFonts w:ascii="Arial" w:cs="Arial" w:eastAsia="Arial" w:hAnsi="Arial"/>
          <w:sz w:val="22"/>
          <w:szCs w:val="22"/>
        </w:rPr>
        <w:t xml:space="preserve">Station B must be able to communicate with Station R (both Hata and terrain losses must be within budget)</w:t>
      </w:r>
    </w:p>
    <w:p>
      <w:pPr>
        <w:spacing w:after="160"/>
      </w:pPr>
      <w:r>
        <w:rPr>
          <w:rFonts w:ascii="Arial" w:cs="Arial" w:eastAsia="Arial" w:hAnsi="Arial"/>
          <w:sz w:val="22"/>
          <w:szCs w:val="22"/>
        </w:rPr>
        <w:t xml:space="preserve">The relay margin is the worse of the two legs. The tool evaluates all SR stations and picks the one with the best margin. Relayed links are shown as dashed lines on the map. The terrain-aware relay analysis is especially valuable because a centrally located SR on high ground may clear terrain obstructions that block direct paths between low-lying stations.</w:t>
      </w:r>
    </w:p>
    <w:p>
      <w:pPr>
        <w:pStyle w:val="Heading2"/>
        <w:spacing w:before="300" w:after="160"/>
      </w:pPr>
      <w:r>
        <w:rPr>
          <w:rFonts w:ascii="Arial" w:cs="Arial" w:eastAsia="Arial" w:hAnsi="Arial"/>
        </w:rPr>
        <w:t xml:space="preserve">7.3. Practical Considerations</w:t>
      </w:r>
    </w:p>
    <w:p>
      <w:pPr>
        <w:spacing w:after="160"/>
      </w:pPr>
      <w:r>
        <w:rPr>
          <w:rFonts w:ascii="Arial" w:cs="Arial" w:eastAsia="Arial" w:hAnsi="Arial"/>
          <w:sz w:val="22"/>
          <w:szCs w:val="22"/>
        </w:rPr>
        <w:t xml:space="preserve">A simplex repeater introduces a time delay equal to the length of the original transmission—it must finish recording before it can retransmit. This effectively halves the communication throughput but extends range to stations that would otherwise be unreachable. The ADS-SR1 operates on the same simplex frequency as the rest of the network, requiring no frequency coordination or duplexer hardware.</w:t>
      </w:r>
    </w:p>
    <w:p>
      <w:r>
        <w:br w:type="page"/>
      </w:r>
    </w:p>
    <w:p>
      <w:pPr>
        <w:pStyle w:val="Heading1"/>
        <w:spacing w:before="300" w:after="160"/>
      </w:pPr>
      <w:r>
        <w:rPr>
          <w:rFonts w:ascii="Arial" w:cs="Arial" w:eastAsia="Arial" w:hAnsi="Arial"/>
        </w:rPr>
        <w:t xml:space="preserve">8. Frequency Planning</w:t>
      </w:r>
    </w:p>
    <w:p>
      <w:pPr>
        <w:pStyle w:val="Heading2"/>
        <w:spacing w:before="300" w:after="160"/>
      </w:pPr>
      <w:r>
        <w:rPr>
          <w:rFonts w:ascii="Arial" w:cs="Arial" w:eastAsia="Arial" w:hAnsi="Arial"/>
        </w:rPr>
        <w:t xml:space="preserve">8.1. Channel Architecture</w:t>
      </w:r>
    </w:p>
    <w:p>
      <w:pPr>
        <w:spacing w:after="160"/>
      </w:pPr>
      <w:r>
        <w:rPr>
          <w:rFonts w:ascii="Arial" w:cs="Arial" w:eastAsia="Arial" w:hAnsi="Arial"/>
          <w:sz w:val="22"/>
          <w:szCs w:val="22"/>
        </w:rPr>
        <w:t xml:space="preserve">The tool’s Freq Planning mode generates a channel assignment plan based on a 3-tier architecture designed for dual-watch VHF radios. All frequencies are drawn from the ARRL 2-meter band plan simplex allocations (146.40–146.58 MHz and 147.42–147.57 MHz) and the 70 cm national simplex frequency.</w:t>
      </w:r>
    </w:p>
    <w:p>
      <w:pPr>
        <w:pStyle w:val="Heading3"/>
        <w:spacing w:before="300" w:after="160"/>
      </w:pPr>
      <w:r>
        <w:rPr>
          <w:rFonts w:ascii="Arial" w:cs="Arial" w:eastAsia="Arial" w:hAnsi="Arial"/>
        </w:rPr>
        <w:t xml:space="preserve">Channel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2400"/>
        <w:gridCol w:w="3160"/>
      </w:tblGrid>
      <w:tr>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CTCSS</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Who Monitors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Tactical Net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146.460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County-wide coordination, direct comms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 always (VHF-A)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5797"/>
                <w:sz w:val="20"/>
                <w:szCs w:val="20"/>
              </w:rPr>
              <w:t xml:space="preserve">SR North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147.420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5797"/>
                <w:sz w:val="20"/>
                <w:szCs w:val="20"/>
              </w:rPr>
              <w:t xml:space="preserve">141.3 Hz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 relay, north zone (≥ 33.78°N)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field units (VHF-B)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SR 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147.510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186.2 Hz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 relay, south zone (&lt; 33.78°N)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field units (VHF-B)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Tac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446.000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Shelter/team ops, short-range UHF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as needed (UHF)</w:t>
            </w:r>
          </w:p>
        </w:tc>
      </w:tr>
    </w:tbl>
    <w:p>
      <w:pPr>
        <w:spacing w:after="160"/>
      </w:pPr>
    </w:p>
    <w:p>
      <w:pPr>
        <w:pStyle w:val="Heading3"/>
        <w:spacing w:before="300" w:after="160"/>
      </w:pPr>
      <w:r>
        <w:rPr>
          <w:rFonts w:ascii="Arial" w:cs="Arial" w:eastAsia="Arial" w:hAnsi="Arial"/>
        </w:rPr>
        <w:t xml:space="preserve">Frequency Selection Rationale</w:t>
      </w:r>
    </w:p>
    <w:p>
      <w:pPr>
        <w:pStyle w:val="ListParagraph"/>
        <w:numPr>
          <w:ilvl w:val="0"/>
          <w:numId w:val="2"/>
        </w:numPr>
        <w:spacing w:after="80"/>
      </w:pPr>
      <w:r>
        <w:rPr>
          <w:rFonts w:ascii="Arial" w:cs="Arial" w:eastAsia="Arial" w:hAnsi="Arial"/>
          <w:b/>
          <w:bCs/>
          <w:sz w:val="22"/>
          <w:szCs w:val="22"/>
        </w:rPr>
        <w:t xml:space="preserve">146.460 (Tactical Net): </w:t>
      </w:r>
      <w:r>
        <w:rPr>
          <w:rFonts w:ascii="Arial" w:cs="Arial" w:eastAsia="Arial" w:hAnsi="Arial"/>
          <w:sz w:val="22"/>
          <w:szCs w:val="22"/>
        </w:rPr>
        <w:t xml:space="preserve">the county’s existing simplex frequency. All stations and field operators monitor this at all times. No simplex repeaters operate on this frequency.</w:t>
      </w:r>
    </w:p>
    <w:p>
      <w:pPr>
        <w:pStyle w:val="ListParagraph"/>
        <w:numPr>
          <w:ilvl w:val="0"/>
          <w:numId w:val="2"/>
        </w:numPr>
        <w:spacing w:after="80"/>
      </w:pPr>
      <w:r>
        <w:rPr>
          <w:rFonts w:ascii="Arial" w:cs="Arial" w:eastAsia="Arial" w:hAnsi="Arial"/>
          <w:b/>
          <w:bCs/>
          <w:sz w:val="22"/>
          <w:szCs w:val="22"/>
        </w:rPr>
        <w:t xml:space="preserve">147.420 and 147.510 (SR zones): </w:t>
      </w:r>
      <w:r>
        <w:rPr>
          <w:rFonts w:ascii="Arial" w:cs="Arial" w:eastAsia="Arial" w:hAnsi="Arial"/>
          <w:sz w:val="22"/>
          <w:szCs w:val="22"/>
        </w:rPr>
        <w:t xml:space="preserve">selected from the ARRL 147.42–147.57 simplex range. These are well separated from the tactical net (146.460) and from the national calling frequency (146.520, which should never be used for dedicated operations). The 90 kHz spacing between the two SR frequencies provides good selectivity.</w:t>
      </w:r>
    </w:p>
    <w:p>
      <w:pPr>
        <w:pStyle w:val="ListParagraph"/>
        <w:numPr>
          <w:ilvl w:val="0"/>
          <w:numId w:val="2"/>
        </w:numPr>
        <w:spacing w:after="80"/>
      </w:pPr>
      <w:r>
        <w:rPr>
          <w:rFonts w:ascii="Arial" w:cs="Arial" w:eastAsia="Arial" w:hAnsi="Arial"/>
          <w:b/>
          <w:bCs/>
          <w:sz w:val="22"/>
          <w:szCs w:val="22"/>
        </w:rPr>
        <w:t xml:space="preserve">446.000 (Local Tac): </w:t>
      </w:r>
      <w:r>
        <w:rPr>
          <w:rFonts w:ascii="Arial" w:cs="Arial" w:eastAsia="Arial" w:hAnsi="Arial"/>
          <w:sz w:val="22"/>
          <w:szCs w:val="22"/>
        </w:rPr>
        <w:t xml:space="preserve">the 70 cm national simplex frequency, used for short-range tactical operations (shelter management, damage assessment teams, staging areas). UHF’s shorter range naturally limits interference between teams.</w:t>
      </w:r>
    </w:p>
    <w:p>
      <w:pPr>
        <w:pStyle w:val="ListParagraph"/>
        <w:numPr>
          <w:ilvl w:val="0"/>
          <w:numId w:val="2"/>
        </w:numPr>
        <w:spacing w:after="80"/>
      </w:pPr>
      <w:r>
        <w:rPr>
          <w:rFonts w:ascii="Arial" w:cs="Arial" w:eastAsia="Arial" w:hAnsi="Arial"/>
          <w:sz w:val="22"/>
          <w:szCs w:val="22"/>
        </w:rPr>
        <w:t xml:space="preserve">146.520 (National Simplex Calling) is deliberately excluded from the plan. It must remain available for itinerant operators and mutual aid communications.</w:t>
      </w:r>
    </w:p>
    <w:p>
      <w:pPr>
        <w:pStyle w:val="Heading2"/>
        <w:spacing w:before="300" w:after="160"/>
      </w:pPr>
      <w:r>
        <w:rPr>
          <w:rFonts w:ascii="Arial" w:cs="Arial" w:eastAsia="Arial" w:hAnsi="Arial"/>
        </w:rPr>
        <w:t xml:space="preserve">8.2. Tier Architecture</w:t>
      </w:r>
    </w:p>
    <w:p>
      <w:pPr>
        <w:pStyle w:val="Heading3"/>
        <w:spacing w:before="300" w:after="160"/>
      </w:pPr>
      <w:r>
        <w:rPr>
          <w:rFonts w:ascii="Arial" w:cs="Arial" w:eastAsia="Arial" w:hAnsi="Arial"/>
        </w:rPr>
        <w:t xml:space="preserve">Tier 1 — County Tactical Net (146.460)</w:t>
      </w:r>
    </w:p>
    <w:p>
      <w:pPr>
        <w:spacing w:after="160"/>
      </w:pPr>
      <w:r>
        <w:rPr>
          <w:rFonts w:ascii="Arial" w:cs="Arial" w:eastAsia="Arial" w:hAnsi="Arial"/>
          <w:sz w:val="22"/>
          <w:szCs w:val="22"/>
        </w:rPr>
        <w:t xml:space="preserve">The backbone channel. All stations monitor this frequency on VHF-A of their dual-watch radio. Net control, check-ins, emergency traffic, and any direct station-to-station communication that doesn’t require a relay happens here. If two stations can hear each other directly, they use Tier 1.</w:t>
      </w:r>
    </w:p>
    <w:p>
      <w:pPr>
        <w:pStyle w:val="Heading3"/>
        <w:spacing w:before="300" w:after="160"/>
      </w:pPr>
      <w:r>
        <w:rPr>
          <w:rFonts w:ascii="Arial" w:cs="Arial" w:eastAsia="Arial" w:hAnsi="Arial"/>
        </w:rPr>
        <w:t xml:space="preserve">Tier 2 — Simplex Repeater Zones (147.420 / 147.510)</w:t>
      </w:r>
    </w:p>
    <w:p>
      <w:pPr>
        <w:spacing w:after="160"/>
      </w:pPr>
      <w:r>
        <w:rPr>
          <w:rFonts w:ascii="Arial" w:cs="Arial" w:eastAsia="Arial" w:hAnsi="Arial"/>
          <w:sz w:val="22"/>
          <w:szCs w:val="22"/>
        </w:rPr>
        <w:t xml:space="preserve">Field operators who cannot reach the tactical net directly switch VHF-B to their zone’s SR frequency. The simplex repeater at the nearest fire station records their transmission and retransmits it, extending their effective range. Dual-watch means they continue to hear Tier 1 traffic on VHF-A while working through the SR on VHF-B.</w:t>
      </w:r>
    </w:p>
    <w:p>
      <w:pPr>
        <w:spacing w:after="160"/>
      </w:pPr>
      <w:r>
        <w:rPr>
          <w:rFonts w:ascii="Arial" w:cs="Arial" w:eastAsia="Arial" w:hAnsi="Arial"/>
          <w:sz w:val="22"/>
          <w:szCs w:val="22"/>
        </w:rPr>
        <w:t xml:space="preserve">The county is divided into two geographic zones at approximately 33.78°N latitude (roughly the I-20 corridor). This north/south split is simple enough to memorize under stress: “north of I-20 = 147.420, south of I-20 = 147.510.”</w:t>
      </w:r>
    </w:p>
    <w:p>
      <w:pPr>
        <w:pStyle w:val="Heading3"/>
        <w:spacing w:before="300" w:after="160"/>
      </w:pPr>
      <w:r>
        <w:rPr>
          <w:rFonts w:ascii="Arial" w:cs="Arial" w:eastAsia="Arial" w:hAnsi="Arial"/>
        </w:rPr>
        <w:t xml:space="preserve">Tier 3 — Local Tactical (446.000 UHF)</w:t>
      </w:r>
    </w:p>
    <w:p>
      <w:pPr>
        <w:spacing w:after="160"/>
      </w:pPr>
      <w:r>
        <w:rPr>
          <w:rFonts w:ascii="Arial" w:cs="Arial" w:eastAsia="Arial" w:hAnsi="Arial"/>
          <w:sz w:val="22"/>
          <w:szCs w:val="22"/>
        </w:rPr>
        <w:t xml:space="preserve">Used for localized operations where VHF channels should be kept clear. Shelter managers coordinating within a building, damage assessment teams working a neighborhood, or logistics at a staging area. UHF does not interfere with VHF operations and its shorter range naturally contains the traffic.</w:t>
      </w:r>
    </w:p>
    <w:p>
      <w:pPr>
        <w:pStyle w:val="Heading2"/>
        <w:spacing w:before="300" w:after="160"/>
      </w:pPr>
      <w:r>
        <w:rPr>
          <w:rFonts w:ascii="Arial" w:cs="Arial" w:eastAsia="Arial" w:hAnsi="Arial"/>
        </w:rPr>
        <w:t xml:space="preserve">8.3. Co-Frequency Conflict Detection</w:t>
      </w:r>
    </w:p>
    <w:p>
      <w:pPr>
        <w:spacing w:after="160"/>
      </w:pPr>
      <w:r>
        <w:rPr>
          <w:rFonts w:ascii="Arial" w:cs="Arial" w:eastAsia="Arial" w:hAnsi="Arial"/>
          <w:sz w:val="22"/>
          <w:szCs w:val="22"/>
        </w:rPr>
        <w:t xml:space="preserve">The critical constraint for simplex repeaters is that two SRs on the same frequency must not be able to hear each other. If SR-A retransmits and SR-B records it, then SR-B retransmits and SR-A records that, the result is an infinite echo loop. The ADS-SR1’s inhibit timer reduces this risk but does not eliminate it.</w:t>
      </w:r>
    </w:p>
    <w:p>
      <w:pPr>
        <w:spacing w:after="160"/>
      </w:pPr>
      <w:r>
        <w:rPr>
          <w:rFonts w:ascii="Arial" w:cs="Arial" w:eastAsia="Arial" w:hAnsi="Arial"/>
          <w:sz w:val="22"/>
          <w:szCs w:val="22"/>
        </w:rPr>
        <w:t xml:space="preserve">The Freq Planning mode automatically detects co-frequency conflicts:</w:t>
      </w:r>
    </w:p>
    <w:p>
      <w:pPr>
        <w:pStyle w:val="ListParagraph"/>
        <w:numPr>
          <w:ilvl w:val="0"/>
          <w:numId w:val="3"/>
        </w:numPr>
        <w:spacing w:after="80"/>
      </w:pPr>
      <w:r>
        <w:rPr>
          <w:rFonts w:ascii="Arial" w:cs="Arial" w:eastAsia="Arial" w:hAnsi="Arial"/>
          <w:sz w:val="22"/>
          <w:szCs w:val="22"/>
        </w:rPr>
        <w:t xml:space="preserve">It assigns each SR station to the North or South zone based on its latitude</w:t>
      </w:r>
    </w:p>
    <w:p>
      <w:pPr>
        <w:pStyle w:val="ListParagraph"/>
        <w:numPr>
          <w:ilvl w:val="0"/>
          <w:numId w:val="3"/>
        </w:numPr>
        <w:spacing w:after="80"/>
      </w:pPr>
      <w:r>
        <w:rPr>
          <w:rFonts w:ascii="Arial" w:cs="Arial" w:eastAsia="Arial" w:hAnsi="Arial"/>
          <w:sz w:val="22"/>
          <w:szCs w:val="22"/>
        </w:rPr>
        <w:t xml:space="preserve">It computes the terrain-aware link margin between every pair of SR stations in the same zone</w:t>
      </w:r>
    </w:p>
    <w:p>
      <w:pPr>
        <w:pStyle w:val="ListParagraph"/>
        <w:numPr>
          <w:ilvl w:val="0"/>
          <w:numId w:val="3"/>
        </w:numPr>
        <w:spacing w:after="80"/>
      </w:pPr>
      <w:r>
        <w:rPr>
          <w:rFonts w:ascii="Arial" w:cs="Arial" w:eastAsia="Arial" w:hAnsi="Arial"/>
          <w:sz w:val="22"/>
          <w:szCs w:val="22"/>
        </w:rPr>
        <w:t xml:space="preserve">If two same-zone SRs have a link margin above -6 dB (meaning they can potentially hear each other), a conflict is flagged in red in the table and a red dashed line is drawn on the map between them</w:t>
      </w:r>
    </w:p>
    <w:p>
      <w:pPr>
        <w:spacing w:after="160"/>
      </w:pPr>
      <w:r>
        <w:rPr>
          <w:rFonts w:ascii="Arial" w:cs="Arial" w:eastAsia="Arial" w:hAnsi="Arial"/>
          <w:sz w:val="22"/>
          <w:szCs w:val="22"/>
        </w:rPr>
        <w:t xml:space="preserve">To resolve a conflict, you can: move one of the conflicting SRs to a different zone (by toggling SR off on that station and enabling it on a station in the other zone), remove the SR designation from one of the conflicting stations, or accept the risk if the ADS-SR1’s inhibit timer is configured with sufficient hold-off.</w:t>
      </w:r>
    </w:p>
    <w:p>
      <w:pPr>
        <w:pStyle w:val="Heading2"/>
        <w:spacing w:before="300" w:after="160"/>
      </w:pPr>
      <w:r>
        <w:rPr>
          <w:rFonts w:ascii="Arial" w:cs="Arial" w:eastAsia="Arial" w:hAnsi="Arial"/>
        </w:rPr>
        <w:t xml:space="preserve">8.4. CTCSS Tone Assignments</w:t>
      </w:r>
    </w:p>
    <w:p>
      <w:pPr>
        <w:pStyle w:val="Heading3"/>
        <w:spacing w:before="300" w:after="160"/>
      </w:pPr>
      <w:r>
        <w:rPr>
          <w:rFonts w:ascii="Arial" w:cs="Arial" w:eastAsia="Arial" w:hAnsi="Arial"/>
        </w:rPr>
        <w:t xml:space="preserve">Tone Strategy: Per-Zone, Not Per-SR</w:t>
      </w:r>
    </w:p>
    <w:p>
      <w:pPr>
        <w:spacing w:after="160"/>
      </w:pPr>
      <w:r>
        <w:rPr>
          <w:rFonts w:ascii="Arial" w:cs="Arial" w:eastAsia="Arial" w:hAnsi="Arial"/>
          <w:sz w:val="22"/>
          <w:szCs w:val="22"/>
        </w:rPr>
        <w:t xml:space="preserve">CTCSS tones are assigned per zone rather than per individual SR station. In a disaster, operators are already managing 3–4 frequencies. Adding unique tones per SR would require a lookup table that nobody will have memorized under stress. With per-zone tones, operators need only remember two numbers: north zone = 141.3, south zone = 186.2.</w:t>
      </w:r>
    </w:p>
    <w:p>
      <w:pPr>
        <w:spacing w:after="160"/>
      </w:pPr>
      <w:r>
        <w:rPr>
          <w:rFonts w:ascii="Arial" w:cs="Arial" w:eastAsia="Arial" w:hAnsi="Arial"/>
          <w:sz w:val="22"/>
          <w:szCs w:val="22"/>
        </w:rPr>
        <w:t xml:space="preserve">This works because the co-frequency conflict checker already ensures that no two SRs in the same zone can hear each other. The only SR an operator will trigger on a given zone frequency is the nearest one—there is no ambiguity to resolve with per-station tones.</w:t>
      </w:r>
    </w:p>
    <w:p>
      <w:pPr>
        <w:pStyle w:val="Heading3"/>
        <w:spacing w:before="300" w:after="160"/>
      </w:pPr>
      <w:r>
        <w:rPr>
          <w:rFonts w:ascii="Arial" w:cs="Arial" w:eastAsia="Arial" w:hAnsi="Arial"/>
        </w:rPr>
        <w:t xml:space="preserve">Tone Selection: Avoiding Local Repeaters</w:t>
      </w:r>
    </w:p>
    <w:p>
      <w:pPr>
        <w:spacing w:after="160"/>
      </w:pPr>
      <w:r>
        <w:rPr>
          <w:rFonts w:ascii="Arial" w:cs="Arial" w:eastAsia="Arial" w:hAnsi="Arial"/>
          <w:sz w:val="22"/>
          <w:szCs w:val="22"/>
        </w:rPr>
        <w:t xml:space="preserve">The assigned tones (141.3 Hz and 186.2 Hz) were chosen to avoid every CTCSS tone in use on metro Atlanta 2-meter repeaters that could potentially be heard in DeKalb County. The following tones are in active use locally and must not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Tone</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Repeater</w:t>
            </w:r>
          </w:p>
        </w:tc>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29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107.2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146.760 / 145.450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W4BOC (Alford Memorial)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DeKalb ARES primary and alternate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146.2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146.820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W4DOC (Atlanta Skywarn)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Metro-wide Skywarn/ARES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110.9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147.105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WB4RTH (Atlanta CARES)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Buckhead, strong signal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118.8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146.655 / 147.345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N4NFP / N4NEQ</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 Shanty / ATV group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167.9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145.150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W4AQL (Georgia Tech)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125W, 330 ft HAAT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82.5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147.075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W4GR (Gwinnett ARES)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Adjacent county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146.805 / 147.060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Metro Atlanta / N. Fulton ARES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ARES net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131.8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147.210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KF4GHF (Rockdale ARES)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Adjacent county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162.2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147.210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KF4GHF (Rockdale)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Conyers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88.5 Hz</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146.925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WA4ASI (Newton ARES)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Covington</w:t>
            </w:r>
          </w:p>
        </w:tc>
      </w:tr>
    </w:tbl>
    <w:p>
      <w:pPr>
        <w:spacing w:after="160"/>
      </w:pPr>
    </w:p>
    <w:p>
      <w:pPr>
        <w:spacing w:after="160"/>
      </w:pPr>
      <w:r>
        <w:rPr>
          <w:rFonts w:ascii="Arial" w:cs="Arial" w:eastAsia="Arial" w:hAnsi="Arial"/>
          <w:sz w:val="22"/>
          <w:szCs w:val="22"/>
        </w:rPr>
        <w:t xml:space="preserve">The selected tones of 141.3 Hz and 186.2 Hz are not used by any 2-meter repeater in the metro Atlanta area. The 45 Hz spacing between them ensures no receiver selectivity issues.</w:t>
      </w:r>
    </w:p>
    <w:p>
      <w:pPr>
        <w:pStyle w:val="Heading3"/>
        <w:spacing w:before="300" w:after="160"/>
      </w:pPr>
      <w:r>
        <w:rPr>
          <w:rFonts w:ascii="Arial" w:cs="Arial" w:eastAsia="Arial" w:hAnsi="Arial"/>
        </w:rPr>
        <w:t xml:space="preserve">Tactical Net and Local Tac: Carrier Squelch</w:t>
      </w:r>
    </w:p>
    <w:p>
      <w:pPr>
        <w:spacing w:after="160"/>
      </w:pPr>
      <w:r>
        <w:rPr>
          <w:rFonts w:ascii="Arial" w:cs="Arial" w:eastAsia="Arial" w:hAnsi="Arial"/>
          <w:sz w:val="22"/>
          <w:szCs w:val="22"/>
        </w:rPr>
        <w:t xml:space="preserve">The tactical net (146.460) and local tac (446.000) intentionally use no CTCSS tone (carrier squelch). The tactical frequency is the interoperability channel—during a disaster, operators from adjacent counties, Red Cross volunteers, CERT members, and mutual aid responders must be able to call in without knowing a tone. Gating it with CTCSS makes it exclusive, which is the opposite of what an emergency coordination frequency should be.</w:t>
      </w:r>
    </w:p>
    <w:p>
      <w:pPr>
        <w:pStyle w:val="Heading3"/>
        <w:spacing w:before="300" w:after="160"/>
      </w:pPr>
      <w:r>
        <w:rPr>
          <w:rFonts w:ascii="Arial" w:cs="Arial" w:eastAsia="Arial" w:hAnsi="Arial"/>
        </w:rPr>
        <w:t xml:space="preserve">ADS-SR1 Configuration</w:t>
      </w:r>
    </w:p>
    <w:p>
      <w:pPr>
        <w:spacing w:after="160"/>
      </w:pPr>
      <w:r>
        <w:rPr>
          <w:rFonts w:ascii="Arial" w:cs="Arial" w:eastAsia="Arial" w:hAnsi="Arial"/>
          <w:sz w:val="22"/>
          <w:szCs w:val="22"/>
        </w:rPr>
        <w:t xml:space="preserve">Configure each ADS-SR1 simplex repeater with CTCSS decode enabled on its zone’s tone. This gates the input: only transmissions carrying the correct tone will be recorded and retransmitted. The SR should also encode the same tone on its retransmissions, allowing field operators to use tone squelch on VHF-B to hear only SR traffic. The ADS-SR1’s DTMF access codes provide an additional layer of access control and can be used alongside CTCSS.</w:t>
      </w:r>
    </w:p>
    <w:p>
      <w:r>
        <w:br w:type="page"/>
      </w:r>
    </w:p>
    <w:p>
      <w:pPr>
        <w:pStyle w:val="Heading1"/>
        <w:spacing w:before="300" w:after="160"/>
      </w:pPr>
      <w:r>
        <w:rPr>
          <w:rFonts w:ascii="Arial" w:cs="Arial" w:eastAsia="Arial" w:hAnsi="Arial"/>
        </w:rPr>
        <w:t xml:space="preserve">9. Path Diagnostic Mode</w:t>
      </w:r>
    </w:p>
    <w:p>
      <w:pPr>
        <w:pStyle w:val="Heading2"/>
        <w:spacing w:before="300" w:after="160"/>
      </w:pPr>
      <w:r>
        <w:rPr>
          <w:rFonts w:ascii="Arial" w:cs="Arial" w:eastAsia="Arial" w:hAnsi="Arial"/>
        </w:rPr>
        <w:t xml:space="preserve">9.1. Purpose</w:t>
      </w:r>
    </w:p>
    <w:p>
      <w:pPr>
        <w:spacing w:after="160"/>
      </w:pPr>
      <w:r>
        <w:rPr>
          <w:rFonts w:ascii="Arial" w:cs="Arial" w:eastAsia="Arial" w:hAnsi="Arial"/>
          <w:sz w:val="22"/>
          <w:szCs w:val="22"/>
        </w:rPr>
        <w:t xml:space="preserve">The Path Diagnostic mode provides step-by-step validation of the propagation math for any specific TX→RX path. It exposes every intermediate calculation—elevations, effective height, Hata inputs, terrain profile, diffraction parameters, and both forward and reverse link budgets—allowing operators to cross-check the tool’s predictions against hand calculations or external tools like SPLAT! or Radio Mobile.</w:t>
      </w:r>
    </w:p>
    <w:p>
      <w:pPr>
        <w:pStyle w:val="Heading2"/>
        <w:spacing w:before="300" w:after="160"/>
      </w:pPr>
      <w:r>
        <w:rPr>
          <w:rFonts w:ascii="Arial" w:cs="Arial" w:eastAsia="Arial" w:hAnsi="Arial"/>
        </w:rPr>
        <w:t xml:space="preserve">9.2. How to Use</w:t>
      </w:r>
    </w:p>
    <w:p>
      <w:pPr>
        <w:pStyle w:val="ListParagraph"/>
        <w:numPr>
          <w:ilvl w:val="0"/>
          <w:numId w:val="3"/>
        </w:numPr>
        <w:spacing w:after="80"/>
      </w:pPr>
      <w:r>
        <w:rPr>
          <w:rFonts w:ascii="Arial" w:cs="Arial" w:eastAsia="Arial" w:hAnsi="Arial"/>
          <w:sz w:val="22"/>
          <w:szCs w:val="22"/>
        </w:rPr>
        <w:t xml:space="preserve">Click the ⚙ Path Diag tab</w:t>
      </w:r>
    </w:p>
    <w:p>
      <w:pPr>
        <w:pStyle w:val="ListParagraph"/>
        <w:numPr>
          <w:ilvl w:val="0"/>
          <w:numId w:val="3"/>
        </w:numPr>
        <w:spacing w:after="80"/>
      </w:pPr>
      <w:r>
        <w:rPr>
          <w:rFonts w:ascii="Arial" w:cs="Arial" w:eastAsia="Arial" w:hAnsi="Arial"/>
          <w:sz w:val="22"/>
          <w:szCs w:val="22"/>
        </w:rPr>
        <w:t xml:space="preserve">Click any station marker on the map—a teal dashed ring appears to confirm the TX source selection, and the instruction bar shows the station name and ground elevation</w:t>
      </w:r>
    </w:p>
    <w:p>
      <w:pPr>
        <w:pStyle w:val="ListParagraph"/>
        <w:numPr>
          <w:ilvl w:val="0"/>
          <w:numId w:val="3"/>
        </w:numPr>
        <w:spacing w:after="80"/>
      </w:pPr>
      <w:r>
        <w:rPr>
          <w:rFonts w:ascii="Arial" w:cs="Arial" w:eastAsia="Arial" w:hAnsi="Arial"/>
          <w:sz w:val="22"/>
          <w:szCs w:val="22"/>
        </w:rPr>
        <w:t xml:space="preserve">Click a second station marker (for station-to-station analysis) or click anywhere on the map (for station-to-arbitrary-point analysis)—the full diagnostic renders immediately</w:t>
      </w:r>
    </w:p>
    <w:p>
      <w:pPr>
        <w:pStyle w:val="ListParagraph"/>
        <w:numPr>
          <w:ilvl w:val="0"/>
          <w:numId w:val="3"/>
        </w:numPr>
        <w:spacing w:after="80"/>
      </w:pPr>
      <w:r>
        <w:rPr>
          <w:rFonts w:ascii="Arial" w:cs="Arial" w:eastAsia="Arial" w:hAnsi="Arial"/>
          <w:sz w:val="22"/>
          <w:szCs w:val="22"/>
        </w:rPr>
        <w:t xml:space="preserve">Click the map again to test a different target without changing the TX source</w:t>
      </w:r>
    </w:p>
    <w:p>
      <w:pPr>
        <w:pStyle w:val="ListParagraph"/>
        <w:numPr>
          <w:ilvl w:val="0"/>
          <w:numId w:val="3"/>
        </w:numPr>
        <w:spacing w:after="80"/>
      </w:pPr>
      <w:r>
        <w:rPr>
          <w:rFonts w:ascii="Arial" w:cs="Arial" w:eastAsia="Arial" w:hAnsi="Arial"/>
          <w:sz w:val="22"/>
          <w:szCs w:val="22"/>
        </w:rPr>
        <w:t xml:space="preserve">Click “reset” in the instruction bar to start over with a new TX source</w:t>
      </w:r>
    </w:p>
    <w:p>
      <w:pPr>
        <w:pStyle w:val="Heading2"/>
        <w:spacing w:before="300" w:after="160"/>
      </w:pPr>
      <w:r>
        <w:rPr>
          <w:rFonts w:ascii="Arial" w:cs="Arial" w:eastAsia="Arial" w:hAnsi="Arial"/>
        </w:rPr>
        <w:t xml:space="preserve">9.3. RX Mode Toggle</w:t>
      </w:r>
    </w:p>
    <w:p>
      <w:pPr>
        <w:spacing w:after="160"/>
      </w:pPr>
      <w:r>
        <w:rPr>
          <w:rFonts w:ascii="Arial" w:cs="Arial" w:eastAsia="Arial" w:hAnsi="Arial"/>
          <w:sz w:val="22"/>
          <w:szCs w:val="22"/>
        </w:rPr>
        <w:t xml:space="preserve">Two buttons in the diagnostic panel header switch between RX configurations:</w:t>
      </w:r>
    </w:p>
    <w:p>
      <w:pPr>
        <w:pStyle w:val="ListParagraph"/>
        <w:numPr>
          <w:ilvl w:val="0"/>
          <w:numId w:val="2"/>
        </w:numPr>
        <w:spacing w:after="80"/>
      </w:pPr>
      <w:r>
        <w:rPr>
          <w:rFonts w:ascii="Arial" w:cs="Arial" w:eastAsia="Arial" w:hAnsi="Arial"/>
          <w:b/>
          <w:bCs/>
          <w:sz w:val="22"/>
          <w:szCs w:val="22"/>
        </w:rPr>
        <w:t xml:space="preserve">Field Radio: </w:t>
      </w:r>
      <w:r>
        <w:rPr>
          <w:rFonts w:ascii="Arial" w:cs="Arial" w:eastAsia="Arial" w:hAnsi="Arial"/>
          <w:sz w:val="22"/>
          <w:szCs w:val="22"/>
        </w:rPr>
        <w:t xml:space="preserve">uses the field radio preset (e.g., HT 5W, -1 dBi). This models a person with a handheld trying to reach the station. The reverse link is typically the bottleneck due to the HT’s low power.</w:t>
      </w:r>
    </w:p>
    <w:p>
      <w:pPr>
        <w:pStyle w:val="ListParagraph"/>
        <w:numPr>
          <w:ilvl w:val="0"/>
          <w:numId w:val="2"/>
        </w:numPr>
        <w:spacing w:after="80"/>
      </w:pPr>
      <w:r>
        <w:rPr>
          <w:rFonts w:ascii="Arial" w:cs="Arial" w:eastAsia="Arial" w:hAnsi="Arial"/>
          <w:b/>
          <w:bCs/>
          <w:sz w:val="22"/>
          <w:szCs w:val="22"/>
        </w:rPr>
        <w:t xml:space="preserve">Base Station: </w:t>
      </w:r>
      <w:r>
        <w:rPr>
          <w:rFonts w:ascii="Arial" w:cs="Arial" w:eastAsia="Arial" w:hAnsi="Arial"/>
          <w:sz w:val="22"/>
          <w:szCs w:val="22"/>
        </w:rPr>
        <w:t xml:space="preserve">uses the base station configuration for both ends. This matches what Station Links mode computes and is appropriate for analyzing station-to-station paths.</w:t>
      </w:r>
    </w:p>
    <w:p>
      <w:pPr>
        <w:spacing w:after="160"/>
      </w:pPr>
      <w:r>
        <w:rPr>
          <w:rFonts w:ascii="Arial" w:cs="Arial" w:eastAsia="Arial" w:hAnsi="Arial"/>
          <w:b/>
          <w:bCs/>
          <w:sz w:val="22"/>
          <w:szCs w:val="22"/>
        </w:rPr>
        <w:t xml:space="preserve">Important: </w:t>
      </w:r>
      <w:r>
        <w:rPr>
          <w:rFonts w:ascii="Arial" w:cs="Arial" w:eastAsia="Arial" w:hAnsi="Arial"/>
          <w:sz w:val="22"/>
          <w:szCs w:val="22"/>
        </w:rPr>
        <w:t xml:space="preserve">if the Path Diagnostic shows a different result than Station Links mode for the same pair, check the RX mode toggle. Station Links always uses base-to-base configuration, while the diagnostic defaults to base-to-field.</w:t>
      </w:r>
    </w:p>
    <w:p>
      <w:pPr>
        <w:pStyle w:val="Heading2"/>
        <w:spacing w:before="300" w:after="160"/>
      </w:pPr>
      <w:r>
        <w:rPr>
          <w:rFonts w:ascii="Arial" w:cs="Arial" w:eastAsia="Arial" w:hAnsi="Arial"/>
        </w:rPr>
        <w:t xml:space="preserve">9.4. Terrain Profile Display</w:t>
      </w:r>
    </w:p>
    <w:p>
      <w:pPr>
        <w:spacing w:after="160"/>
      </w:pPr>
      <w:r>
        <w:rPr>
          <w:rFonts w:ascii="Arial" w:cs="Arial" w:eastAsia="Arial" w:hAnsi="Arial"/>
          <w:sz w:val="22"/>
          <w:szCs w:val="22"/>
        </w:rPr>
        <w:t xml:space="preserve">The SVG terrain profile shows:</w:t>
      </w:r>
    </w:p>
    <w:p>
      <w:pPr>
        <w:pStyle w:val="ListParagraph"/>
        <w:numPr>
          <w:ilvl w:val="0"/>
          <w:numId w:val="2"/>
        </w:numPr>
        <w:spacing w:after="80"/>
      </w:pPr>
      <w:r>
        <w:rPr>
          <w:rFonts w:ascii="Arial" w:cs="Arial" w:eastAsia="Arial" w:hAnsi="Arial"/>
          <w:sz w:val="22"/>
          <w:szCs w:val="22"/>
        </w:rPr>
        <w:t xml:space="preserve">Gray filled area: ground elevation cross-section (50 samples along the path)</w:t>
      </w:r>
    </w:p>
    <w:p>
      <w:pPr>
        <w:pStyle w:val="ListParagraph"/>
        <w:numPr>
          <w:ilvl w:val="0"/>
          <w:numId w:val="2"/>
        </w:numPr>
        <w:spacing w:after="80"/>
      </w:pPr>
      <w:r>
        <w:rPr>
          <w:rFonts w:ascii="Arial" w:cs="Arial" w:eastAsia="Arial" w:hAnsi="Arial"/>
          <w:sz w:val="22"/>
          <w:szCs w:val="22"/>
        </w:rPr>
        <w:t xml:space="preserve">Dashed line: line-of-sight from TX antenna tip to RX antenna tip, color-coded green (pass), amber (marginal), or red (fail)</w:t>
      </w:r>
    </w:p>
    <w:p>
      <w:pPr>
        <w:pStyle w:val="ListParagraph"/>
        <w:numPr>
          <w:ilvl w:val="0"/>
          <w:numId w:val="2"/>
        </w:numPr>
        <w:spacing w:after="80"/>
      </w:pPr>
      <w:r>
        <w:rPr>
          <w:rFonts w:ascii="Arial" w:cs="Arial" w:eastAsia="Arial" w:hAnsi="Arial"/>
          <w:sz w:val="22"/>
          <w:szCs w:val="22"/>
        </w:rPr>
        <w:t xml:space="preserve">Blue-tinted area: first Fresnel zone envelope around the LOS line</w:t>
      </w:r>
    </w:p>
    <w:p>
      <w:pPr>
        <w:pStyle w:val="ListParagraph"/>
        <w:numPr>
          <w:ilvl w:val="0"/>
          <w:numId w:val="2"/>
        </w:numPr>
        <w:spacing w:after="80"/>
      </w:pPr>
      <w:r>
        <w:rPr>
          <w:rFonts w:ascii="Arial" w:cs="Arial" w:eastAsia="Arial" w:hAnsi="Arial"/>
          <w:sz w:val="22"/>
          <w:szCs w:val="22"/>
        </w:rPr>
        <w:t xml:space="preserve">Red dot with vertical line: worst terrain obstruction point (if the path is obstructed)</w:t>
      </w:r>
    </w:p>
    <w:p>
      <w:pPr>
        <w:pStyle w:val="ListParagraph"/>
        <w:numPr>
          <w:ilvl w:val="0"/>
          <w:numId w:val="2"/>
        </w:numPr>
        <w:spacing w:after="80"/>
      </w:pPr>
      <w:r>
        <w:rPr>
          <w:rFonts w:ascii="Arial" w:cs="Arial" w:eastAsia="Arial" w:hAnsi="Arial"/>
          <w:sz w:val="22"/>
          <w:szCs w:val="22"/>
        </w:rPr>
        <w:t xml:space="preserve">Teal and colored endpoint markers with altitude labels (ft ASL)</w:t>
      </w:r>
    </w:p>
    <w:p>
      <w:pPr>
        <w:pStyle w:val="ListParagraph"/>
        <w:numPr>
          <w:ilvl w:val="0"/>
          <w:numId w:val="2"/>
        </w:numPr>
        <w:spacing w:after="80"/>
      </w:pPr>
      <w:r>
        <w:rPr>
          <w:rFonts w:ascii="Arial" w:cs="Arial" w:eastAsia="Arial" w:hAnsi="Arial"/>
          <w:sz w:val="22"/>
          <w:szCs w:val="22"/>
        </w:rPr>
        <w:t xml:space="preserve">Distance, bearing, and elevation scale annotations</w:t>
      </w:r>
    </w:p>
    <w:p>
      <w:pPr>
        <w:pStyle w:val="Heading2"/>
        <w:spacing w:before="300" w:after="160"/>
      </w:pPr>
      <w:r>
        <w:rPr>
          <w:rFonts w:ascii="Arial" w:cs="Arial" w:eastAsia="Arial" w:hAnsi="Arial"/>
        </w:rPr>
        <w:t xml:space="preserve">9.5. Link Budget Table</w:t>
      </w:r>
    </w:p>
    <w:p>
      <w:pPr>
        <w:spacing w:after="160"/>
      </w:pPr>
      <w:r>
        <w:rPr>
          <w:rFonts w:ascii="Arial" w:cs="Arial" w:eastAsia="Arial" w:hAnsi="Arial"/>
          <w:sz w:val="22"/>
          <w:szCs w:val="22"/>
        </w:rPr>
        <w:t xml:space="preserve">The scrollable table presents the complete link budget in seven sections:</w:t>
      </w:r>
    </w:p>
    <w:p>
      <w:pPr>
        <w:pStyle w:val="ListParagraph"/>
        <w:numPr>
          <w:ilvl w:val="0"/>
          <w:numId w:val="2"/>
        </w:numPr>
        <w:spacing w:after="80"/>
      </w:pPr>
      <w:r>
        <w:rPr>
          <w:rFonts w:ascii="Arial" w:cs="Arial" w:eastAsia="Arial" w:hAnsi="Arial"/>
          <w:b/>
          <w:bCs/>
          <w:sz w:val="22"/>
          <w:szCs w:val="22"/>
        </w:rPr>
        <w:t xml:space="preserve">TX Side: </w:t>
      </w:r>
      <w:r>
        <w:rPr>
          <w:rFonts w:ascii="Arial" w:cs="Arial" w:eastAsia="Arial" w:hAnsi="Arial"/>
          <w:sz w:val="22"/>
          <w:szCs w:val="22"/>
        </w:rPr>
        <w:t xml:space="preserve">power, antenna gain, cable loss, and computed EIRP</w:t>
      </w:r>
    </w:p>
    <w:p>
      <w:pPr>
        <w:pStyle w:val="ListParagraph"/>
        <w:numPr>
          <w:ilvl w:val="0"/>
          <w:numId w:val="2"/>
        </w:numPr>
        <w:spacing w:after="80"/>
      </w:pPr>
      <w:r>
        <w:rPr>
          <w:rFonts w:ascii="Arial" w:cs="Arial" w:eastAsia="Arial" w:hAnsi="Arial"/>
          <w:b/>
          <w:bCs/>
          <w:sz w:val="22"/>
          <w:szCs w:val="22"/>
        </w:rPr>
        <w:t xml:space="preserve">RX Side: </w:t>
      </w:r>
      <w:r>
        <w:rPr>
          <w:rFonts w:ascii="Arial" w:cs="Arial" w:eastAsia="Arial" w:hAnsi="Arial"/>
          <w:sz w:val="22"/>
          <w:szCs w:val="22"/>
        </w:rPr>
        <w:t xml:space="preserve">power, antenna gain, cable loss (if base station), net gain, antenna height, and EIRP. Adapts to the Field Radio / Base Station toggle.</w:t>
      </w:r>
    </w:p>
    <w:p>
      <w:pPr>
        <w:pStyle w:val="ListParagraph"/>
        <w:numPr>
          <w:ilvl w:val="0"/>
          <w:numId w:val="2"/>
        </w:numPr>
        <w:spacing w:after="80"/>
      </w:pPr>
      <w:r>
        <w:rPr>
          <w:rFonts w:ascii="Arial" w:cs="Arial" w:eastAsia="Arial" w:hAnsi="Arial"/>
          <w:b/>
          <w:bCs/>
          <w:sz w:val="22"/>
          <w:szCs w:val="22"/>
        </w:rPr>
        <w:t xml:space="preserve">Path: </w:t>
      </w:r>
      <w:r>
        <w:rPr>
          <w:rFonts w:ascii="Arial" w:cs="Arial" w:eastAsia="Arial" w:hAnsi="Arial"/>
          <w:sz w:val="22"/>
          <w:szCs w:val="22"/>
        </w:rPr>
        <w:t xml:space="preserve">distance, bearing, both ground elevations from DEM with interpolation source, elevation difference, mast heights, and the computed effective Hata height with clamping range</w:t>
      </w:r>
    </w:p>
    <w:p>
      <w:pPr>
        <w:pStyle w:val="ListParagraph"/>
        <w:numPr>
          <w:ilvl w:val="0"/>
          <w:numId w:val="2"/>
        </w:numPr>
        <w:spacing w:after="80"/>
      </w:pPr>
      <w:r>
        <w:rPr>
          <w:rFonts w:ascii="Arial" w:cs="Arial" w:eastAsia="Arial" w:hAnsi="Arial"/>
          <w:b/>
          <w:bCs/>
          <w:sz w:val="22"/>
          <w:szCs w:val="22"/>
        </w:rPr>
        <w:t xml:space="preserve">Hata Model: </w:t>
      </w:r>
      <w:r>
        <w:rPr>
          <w:rFonts w:ascii="Arial" w:cs="Arial" w:eastAsia="Arial" w:hAnsi="Arial"/>
          <w:sz w:val="22"/>
          <w:szCs w:val="22"/>
        </w:rPr>
        <w:t xml:space="preserve">frequency, effective hb, hm, and resulting path loss in dB</w:t>
      </w:r>
    </w:p>
    <w:p>
      <w:pPr>
        <w:pStyle w:val="ListParagraph"/>
        <w:numPr>
          <w:ilvl w:val="0"/>
          <w:numId w:val="2"/>
        </w:numPr>
        <w:spacing w:after="80"/>
      </w:pPr>
      <w:r>
        <w:rPr>
          <w:rFonts w:ascii="Arial" w:cs="Arial" w:eastAsia="Arial" w:hAnsi="Arial"/>
          <w:b/>
          <w:bCs/>
          <w:sz w:val="22"/>
          <w:szCs w:val="22"/>
        </w:rPr>
        <w:t xml:space="preserve">Terrain: </w:t>
      </w:r>
      <w:r>
        <w:rPr>
          <w:rFonts w:ascii="Arial" w:cs="Arial" w:eastAsia="Arial" w:hAnsi="Arial"/>
          <w:sz w:val="22"/>
          <w:szCs w:val="22"/>
        </w:rPr>
        <w:t xml:space="preserve">profile sample count, worst Fresnel parameter v with interpretation thresholds (-0.7/0), terrain category, diffraction loss in dB, and derate penalty</w:t>
      </w:r>
    </w:p>
    <w:p>
      <w:pPr>
        <w:pStyle w:val="ListParagraph"/>
        <w:numPr>
          <w:ilvl w:val="0"/>
          <w:numId w:val="2"/>
        </w:numPr>
        <w:spacing w:after="80"/>
      </w:pPr>
      <w:r>
        <w:rPr>
          <w:rFonts w:ascii="Arial" w:cs="Arial" w:eastAsia="Arial" w:hAnsi="Arial"/>
          <w:b/>
          <w:bCs/>
          <w:sz w:val="22"/>
          <w:szCs w:val="22"/>
        </w:rPr>
        <w:t xml:space="preserve">Forward/Reverse Links: </w:t>
      </w:r>
      <w:r>
        <w:rPr>
          <w:rFonts w:ascii="Arial" w:cs="Arial" w:eastAsia="Arial" w:hAnsi="Arial"/>
          <w:sz w:val="22"/>
          <w:szCs w:val="22"/>
        </w:rPr>
        <w:t xml:space="preserve">RX gain, sensitivity, fade margin, maximum allowable path loss, and link margin with pass/marginal/fail classification</w:t>
      </w:r>
    </w:p>
    <w:p>
      <w:pPr>
        <w:pStyle w:val="ListParagraph"/>
        <w:numPr>
          <w:ilvl w:val="0"/>
          <w:numId w:val="2"/>
        </w:numPr>
        <w:spacing w:after="80"/>
      </w:pPr>
      <w:r>
        <w:rPr>
          <w:rFonts w:ascii="Arial" w:cs="Arial" w:eastAsia="Arial" w:hAnsi="Arial"/>
          <w:b/>
          <w:bCs/>
          <w:sz w:val="22"/>
          <w:szCs w:val="22"/>
        </w:rPr>
        <w:t xml:space="preserve">Result: </w:t>
      </w:r>
      <w:r>
        <w:rPr>
          <w:rFonts w:ascii="Arial" w:cs="Arial" w:eastAsia="Arial" w:hAnsi="Arial"/>
          <w:sz w:val="22"/>
          <w:szCs w:val="22"/>
        </w:rPr>
        <w:t xml:space="preserve">usable margin (minimum of forward and reverse), limiting link direction, and analysis mode confirmation</w:t>
      </w:r>
    </w:p>
    <w:p>
      <w:pPr>
        <w:pStyle w:val="Heading2"/>
        <w:spacing w:before="300" w:after="160"/>
      </w:pPr>
      <w:r>
        <w:rPr>
          <w:rFonts w:ascii="Arial" w:cs="Arial" w:eastAsia="Arial" w:hAnsi="Arial"/>
        </w:rPr>
        <w:t xml:space="preserve">9.6. Validation Use Cases</w:t>
      </w:r>
    </w:p>
    <w:p>
      <w:pPr>
        <w:spacing w:after="160"/>
      </w:pPr>
      <w:r>
        <w:rPr>
          <w:rFonts w:ascii="Arial" w:cs="Arial" w:eastAsia="Arial" w:hAnsi="Arial"/>
          <w:sz w:val="22"/>
          <w:szCs w:val="22"/>
        </w:rPr>
        <w:t xml:space="preserve">Recommended paths to verify the model:</w:t>
      </w:r>
    </w:p>
    <w:p>
      <w:pPr>
        <w:pStyle w:val="ListParagraph"/>
        <w:numPr>
          <w:ilvl w:val="0"/>
          <w:numId w:val="2"/>
        </w:numPr>
        <w:spacing w:after="80"/>
      </w:pPr>
      <w:r>
        <w:rPr>
          <w:rFonts w:ascii="Arial" w:cs="Arial" w:eastAsia="Arial" w:hAnsi="Arial"/>
          <w:sz w:val="22"/>
          <w:szCs w:val="22"/>
        </w:rPr>
        <w:t xml:space="preserve">Two stations on flat terrain at similar elevation—effective height should equal mast height, terrain loss should be near zero</w:t>
      </w:r>
    </w:p>
    <w:p>
      <w:pPr>
        <w:pStyle w:val="ListParagraph"/>
        <w:numPr>
          <w:ilvl w:val="0"/>
          <w:numId w:val="2"/>
        </w:numPr>
        <w:spacing w:after="80"/>
      </w:pPr>
      <w:r>
        <w:rPr>
          <w:rFonts w:ascii="Arial" w:cs="Arial" w:eastAsia="Arial" w:hAnsi="Arial"/>
          <w:sz w:val="22"/>
          <w:szCs w:val="22"/>
        </w:rPr>
        <w:t xml:space="preserve">Stone Mountain summit to a valley station—effective height should be 200+ m, range should be dramatically larger than flat stations</w:t>
      </w:r>
    </w:p>
    <w:p>
      <w:pPr>
        <w:pStyle w:val="ListParagraph"/>
        <w:numPr>
          <w:ilvl w:val="0"/>
          <w:numId w:val="2"/>
        </w:numPr>
        <w:spacing w:after="80"/>
      </w:pPr>
      <w:r>
        <w:rPr>
          <w:rFonts w:ascii="Arial" w:cs="Arial" w:eastAsia="Arial" w:hAnsi="Arial"/>
          <w:sz w:val="22"/>
          <w:szCs w:val="22"/>
        </w:rPr>
        <w:t xml:space="preserve">A path crossing a visible ridge—the terrain profile should show the obstruction, the red dot should mark it, and diffraction loss should be 6–20 dB</w:t>
      </w:r>
    </w:p>
    <w:p>
      <w:pPr>
        <w:pStyle w:val="ListParagraph"/>
        <w:numPr>
          <w:ilvl w:val="0"/>
          <w:numId w:val="2"/>
        </w:numPr>
        <w:spacing w:after="80"/>
      </w:pPr>
      <w:r>
        <w:rPr>
          <w:rFonts w:ascii="Arial" w:cs="Arial" w:eastAsia="Arial" w:hAnsi="Arial"/>
          <w:sz w:val="22"/>
          <w:szCs w:val="22"/>
        </w:rPr>
        <w:t xml:space="preserve">The same station pair in both Base Station and Field Radio modes—forward link should match, but reverse link should differ by ~11 dB (50W vs 5W, 4.5 dBi vs -1 dBi)</w:t>
      </w:r>
    </w:p>
    <w:p>
      <w:r>
        <w:br w:type="page"/>
      </w:r>
    </w:p>
    <w:p>
      <w:pPr>
        <w:pStyle w:val="Heading1"/>
        <w:spacing w:before="300" w:after="160"/>
      </w:pPr>
      <w:r>
        <w:rPr>
          <w:rFonts w:ascii="Arial" w:cs="Arial" w:eastAsia="Arial" w:hAnsi="Arial"/>
        </w:rPr>
        <w:t xml:space="preserve">10. EMCOMM Planning Guide</w:t>
      </w:r>
    </w:p>
    <w:p>
      <w:pPr>
        <w:pStyle w:val="Heading2"/>
        <w:spacing w:before="300" w:after="160"/>
      </w:pPr>
      <w:r>
        <w:rPr>
          <w:rFonts w:ascii="Arial" w:cs="Arial" w:eastAsia="Arial" w:hAnsi="Arial"/>
        </w:rPr>
        <w:t xml:space="preserve">10.1. Selecting Deployment Sites</w:t>
      </w:r>
    </w:p>
    <w:p>
      <w:pPr>
        <w:spacing w:after="160"/>
      </w:pPr>
      <w:r>
        <w:rPr>
          <w:rFonts w:ascii="Arial" w:cs="Arial" w:eastAsia="Arial" w:hAnsi="Arial"/>
          <w:sz w:val="22"/>
          <w:szCs w:val="22"/>
        </w:rPr>
        <w:t xml:space="preserve">The tool includes four categories of deployment sites, each serving a different planning role:</w:t>
      </w:r>
    </w:p>
    <w:p>
      <w:pPr>
        <w:pStyle w:val="ListParagraph"/>
        <w:numPr>
          <w:ilvl w:val="0"/>
          <w:numId w:val="2"/>
        </w:numPr>
        <w:spacing w:after="80"/>
      </w:pPr>
      <w:r>
        <w:rPr>
          <w:rFonts w:ascii="Arial" w:cs="Arial" w:eastAsia="Arial" w:hAnsi="Arial"/>
          <w:b/>
          <w:bCs/>
          <w:sz w:val="22"/>
          <w:szCs w:val="22"/>
        </w:rPr>
        <w:t xml:space="preserve">Fire Stations (coverage backbone): </w:t>
      </w:r>
      <w:r>
        <w:rPr>
          <w:rFonts w:ascii="Arial" w:cs="Arial" w:eastAsia="Arial" w:hAnsi="Arial"/>
          <w:sz w:val="22"/>
          <w:szCs w:val="22"/>
        </w:rPr>
        <w:t xml:space="preserve">geographic spread across the county. Use Field Coverage mode with the HT 5W preset as the worst-case planning scenario. The Min–Max column in the coverage table shows terrain variation by bearing.</w:t>
      </w:r>
    </w:p>
    <w:p>
      <w:pPr>
        <w:pStyle w:val="ListParagraph"/>
        <w:numPr>
          <w:ilvl w:val="0"/>
          <w:numId w:val="2"/>
        </w:numPr>
        <w:spacing w:after="80"/>
      </w:pPr>
      <w:r>
        <w:rPr>
          <w:rFonts w:ascii="Arial" w:cs="Arial" w:eastAsia="Arial" w:hAnsi="Arial"/>
          <w:b/>
          <w:bCs/>
          <w:sz w:val="22"/>
          <w:szCs w:val="22"/>
        </w:rPr>
        <w:t xml:space="preserve">Mountain Summits (relay and backbone): </w:t>
      </w:r>
      <w:r>
        <w:rPr>
          <w:rFonts w:ascii="Arial" w:cs="Arial" w:eastAsia="Arial" w:hAnsi="Arial"/>
          <w:sz w:val="22"/>
          <w:szCs w:val="22"/>
        </w:rPr>
        <w:t xml:space="preserve">Stone Mountain with its ~250 m effective height advantage can cover the entire county and beyond. Arabia and Panola Mountains provide elevated relay options for the south/southeast sector. Designate these as SR sites for maximum effect.</w:t>
      </w:r>
    </w:p>
    <w:p>
      <w:pPr>
        <w:pStyle w:val="ListParagraph"/>
        <w:numPr>
          <w:ilvl w:val="0"/>
          <w:numId w:val="2"/>
        </w:numPr>
        <w:spacing w:after="80"/>
      </w:pPr>
      <w:r>
        <w:rPr>
          <w:rFonts w:ascii="Arial" w:cs="Arial" w:eastAsia="Arial" w:hAnsi="Arial"/>
          <w:b/>
          <w:bCs/>
          <w:sz w:val="22"/>
          <w:szCs w:val="22"/>
        </w:rPr>
        <w:t xml:space="preserve">Command / Infrastructure (net control): </w:t>
      </w:r>
      <w:r>
        <w:rPr>
          <w:rFonts w:ascii="Arial" w:cs="Arial" w:eastAsia="Arial" w:hAnsi="Arial"/>
          <w:sz w:val="22"/>
          <w:szCs w:val="22"/>
        </w:rPr>
        <w:t xml:space="preserve">DCFR HQ/EOC in Tucker is the logical net control point (also the Winlink RMS site). PDK Airport is a likely disaster staging area with emergency power. Use Station Links to verify connectivity between HQ and all other sites.</w:t>
      </w:r>
    </w:p>
    <w:p>
      <w:pPr>
        <w:pStyle w:val="ListParagraph"/>
        <w:numPr>
          <w:ilvl w:val="0"/>
          <w:numId w:val="2"/>
        </w:numPr>
        <w:spacing w:after="80"/>
      </w:pPr>
      <w:r>
        <w:rPr>
          <w:rFonts w:ascii="Arial" w:cs="Arial" w:eastAsia="Arial" w:hAnsi="Arial"/>
          <w:b/>
          <w:bCs/>
          <w:sz w:val="22"/>
          <w:szCs w:val="22"/>
        </w:rPr>
        <w:t xml:space="preserve">Hospitals (served agencies): </w:t>
      </w:r>
      <w:r>
        <w:rPr>
          <w:rFonts w:ascii="Arial" w:cs="Arial" w:eastAsia="Arial" w:hAnsi="Arial"/>
          <w:sz w:val="22"/>
          <w:szCs w:val="22"/>
        </w:rPr>
        <w:t xml:space="preserve">verify that each hospital can reach the nearest fire station or SR. Use Path Diagnostic with Field Radio mode to confirm whether an operator with an HT at the hospital can check into the network.</w:t>
      </w:r>
    </w:p>
    <w:p>
      <w:pPr>
        <w:pStyle w:val="Heading2"/>
        <w:spacing w:before="300" w:after="160"/>
      </w:pPr>
      <w:r>
        <w:rPr>
          <w:rFonts w:ascii="Arial" w:cs="Arial" w:eastAsia="Arial" w:hAnsi="Arial"/>
        </w:rPr>
        <w:t xml:space="preserve">10.2. Deploying Simplex Repeaters</w:t>
      </w:r>
    </w:p>
    <w:p>
      <w:pPr>
        <w:spacing w:after="160"/>
      </w:pPr>
      <w:r>
        <w:rPr>
          <w:rFonts w:ascii="Arial" w:cs="Arial" w:eastAsia="Arial" w:hAnsi="Arial"/>
          <w:sz w:val="22"/>
          <w:szCs w:val="22"/>
        </w:rPr>
        <w:t xml:space="preserve">The terrain engine makes SR placement analysis much more informative. Focus SR deployment on stations that are:</w:t>
      </w:r>
    </w:p>
    <w:p>
      <w:pPr>
        <w:pStyle w:val="ListParagraph"/>
        <w:numPr>
          <w:ilvl w:val="0"/>
          <w:numId w:val="2"/>
        </w:numPr>
        <w:spacing w:after="80"/>
      </w:pPr>
      <w:r>
        <w:rPr>
          <w:rFonts w:ascii="Arial" w:cs="Arial" w:eastAsia="Arial" w:hAnsi="Arial"/>
          <w:sz w:val="22"/>
          <w:szCs w:val="22"/>
        </w:rPr>
        <w:t xml:space="preserve">On higher ground with good line-of-sight to multiple other stations</w:t>
      </w:r>
    </w:p>
    <w:p>
      <w:pPr>
        <w:pStyle w:val="ListParagraph"/>
        <w:numPr>
          <w:ilvl w:val="0"/>
          <w:numId w:val="2"/>
        </w:numPr>
        <w:spacing w:after="80"/>
      </w:pPr>
      <w:r>
        <w:rPr>
          <w:rFonts w:ascii="Arial" w:cs="Arial" w:eastAsia="Arial" w:hAnsi="Arial"/>
          <w:sz w:val="22"/>
          <w:szCs w:val="22"/>
        </w:rPr>
        <w:t xml:space="preserve">Centrally located between clusters of stations that cannot reach each other due to terrain obstructions</w:t>
      </w:r>
    </w:p>
    <w:p>
      <w:pPr>
        <w:pStyle w:val="ListParagraph"/>
        <w:numPr>
          <w:ilvl w:val="0"/>
          <w:numId w:val="2"/>
        </w:numPr>
        <w:spacing w:after="80"/>
      </w:pPr>
      <w:r>
        <w:rPr>
          <w:rFonts w:ascii="Arial" w:cs="Arial" w:eastAsia="Arial" w:hAnsi="Arial"/>
          <w:sz w:val="22"/>
          <w:szCs w:val="22"/>
        </w:rPr>
        <w:t xml:space="preserve">Positioned where the terrain profile to both sides of a blocked link is clear</w:t>
      </w:r>
    </w:p>
    <w:p>
      <w:pPr>
        <w:spacing w:after="160"/>
      </w:pPr>
      <w:r>
        <w:rPr>
          <w:rFonts w:ascii="Arial" w:cs="Arial" w:eastAsia="Arial" w:hAnsi="Arial"/>
          <w:sz w:val="22"/>
          <w:szCs w:val="22"/>
        </w:rPr>
        <w:t xml:space="preserve">Use the Station-to-Station Link mode to identify failing links, then toggle SR on candidate relay stations. The terrain engine will evaluate whether the relay legs actually clear the terrain—a relay through a station in a valley may not help even if it is geographically centered.</w:t>
      </w:r>
    </w:p>
    <w:p>
      <w:pPr>
        <w:pStyle w:val="Heading2"/>
        <w:spacing w:before="300" w:after="160"/>
      </w:pPr>
      <w:r>
        <w:rPr>
          <w:rFonts w:ascii="Arial" w:cs="Arial" w:eastAsia="Arial" w:hAnsi="Arial"/>
        </w:rPr>
        <w:t xml:space="preserve">10.3. Limitations</w:t>
      </w:r>
    </w:p>
    <w:p>
      <w:pPr>
        <w:spacing w:after="160"/>
      </w:pPr>
      <w:r>
        <w:rPr>
          <w:rFonts w:ascii="Arial" w:cs="Arial" w:eastAsia="Arial" w:hAnsi="Arial"/>
          <w:sz w:val="22"/>
          <w:szCs w:val="22"/>
        </w:rPr>
        <w:t xml:space="preserve">The terrain engine significantly improves coverage predictions over the flat-earth model, but the following limitations remain:</w:t>
      </w:r>
    </w:p>
    <w:p>
      <w:pPr>
        <w:pStyle w:val="ListParagraph"/>
        <w:numPr>
          <w:ilvl w:val="0"/>
          <w:numId w:val="2"/>
        </w:numPr>
        <w:spacing w:after="80"/>
      </w:pPr>
      <w:r>
        <w:rPr>
          <w:rFonts w:ascii="Arial" w:cs="Arial" w:eastAsia="Arial" w:hAnsi="Arial"/>
          <w:sz w:val="22"/>
          <w:szCs w:val="22"/>
        </w:rPr>
        <w:t xml:space="preserve">The DEM grid resolution (~750 m) cannot capture small-scale terrain features such as individual buildings, road cuts, or berms. It captures hills, ridges, and valleys.</w:t>
      </w:r>
    </w:p>
    <w:p>
      <w:pPr>
        <w:pStyle w:val="ListParagraph"/>
        <w:numPr>
          <w:ilvl w:val="0"/>
          <w:numId w:val="2"/>
        </w:numPr>
        <w:spacing w:after="80"/>
      </w:pPr>
      <w:r>
        <w:rPr>
          <w:rFonts w:ascii="Arial" w:cs="Arial" w:eastAsia="Arial" w:hAnsi="Arial"/>
          <w:sz w:val="22"/>
          <w:szCs w:val="22"/>
        </w:rPr>
        <w:t xml:space="preserve">The Bullington model uses a single dominant knife-edge obstruction. Paths with multiple successive ridges (rare in DeKalb but possible) will underestimate total diffraction loss.</w:t>
      </w:r>
    </w:p>
    <w:p>
      <w:pPr>
        <w:pStyle w:val="ListParagraph"/>
        <w:numPr>
          <w:ilvl w:val="0"/>
          <w:numId w:val="2"/>
        </w:numPr>
        <w:spacing w:after="80"/>
      </w:pPr>
      <w:r>
        <w:rPr>
          <w:rFonts w:ascii="Arial" w:cs="Arial" w:eastAsia="Arial" w:hAnsi="Arial"/>
          <w:sz w:val="22"/>
          <w:szCs w:val="22"/>
        </w:rPr>
        <w:t xml:space="preserve">Building clutter, dense tree canopy, and indoor penetration are not modeled. These factors can add 10–20 dB of additional loss in urban and heavily wooded areas.</w:t>
      </w:r>
    </w:p>
    <w:p>
      <w:pPr>
        <w:pStyle w:val="ListParagraph"/>
        <w:numPr>
          <w:ilvl w:val="0"/>
          <w:numId w:val="2"/>
        </w:numPr>
        <w:spacing w:after="80"/>
      </w:pPr>
      <w:r>
        <w:rPr>
          <w:rFonts w:ascii="Arial" w:cs="Arial" w:eastAsia="Arial" w:hAnsi="Arial"/>
          <w:sz w:val="22"/>
          <w:szCs w:val="22"/>
        </w:rPr>
        <w:t xml:space="preserve">The Hata model is extrapolated below its validated antenna height range at typical fire station installations. The 25% derate option partially compensates for this.</w:t>
      </w:r>
    </w:p>
    <w:p>
      <w:pPr>
        <w:pStyle w:val="ListParagraph"/>
        <w:numPr>
          <w:ilvl w:val="0"/>
          <w:numId w:val="2"/>
        </w:numPr>
        <w:spacing w:after="80"/>
      </w:pPr>
      <w:r>
        <w:rPr>
          <w:rFonts w:ascii="Arial" w:cs="Arial" w:eastAsia="Arial" w:hAnsi="Arial"/>
          <w:sz w:val="22"/>
          <w:szCs w:val="22"/>
        </w:rPr>
        <w:t xml:space="preserve">All calculations assume the radio parameters as configured. Real-world cable losses, connector corrosion, SWR, and antenna condition can significantly degrade performance.</w:t>
      </w:r>
    </w:p>
    <w:p>
      <w:pPr>
        <w:pStyle w:val="ListParagraph"/>
        <w:numPr>
          <w:ilvl w:val="0"/>
          <w:numId w:val="2"/>
        </w:numPr>
        <w:spacing w:after="80"/>
      </w:pPr>
      <w:r>
        <w:rPr>
          <w:rFonts w:ascii="Arial" w:cs="Arial" w:eastAsia="Arial" w:hAnsi="Arial"/>
          <w:sz w:val="22"/>
          <w:szCs w:val="22"/>
        </w:rPr>
        <w:t xml:space="preserve">Terrain data and the county boundary are fetched at runtime. If the APIs are unavailable, the tool falls back to flat-earth circles and functions without the boundary overlay.</w:t>
      </w:r>
    </w:p>
    <w:p>
      <w:r>
        <w:br w:type="page"/>
      </w:r>
    </w:p>
    <w:p>
      <w:pPr>
        <w:pStyle w:val="Heading1"/>
        <w:spacing w:before="300" w:after="160"/>
      </w:pPr>
      <w:r>
        <w:rPr>
          <w:rFonts w:ascii="Arial" w:cs="Arial" w:eastAsia="Arial" w:hAnsi="Arial"/>
        </w:rPr>
        <w:t xml:space="preserve">11. Quick Reference</w:t>
      </w:r>
    </w:p>
    <w:p>
      <w:pPr>
        <w:pStyle w:val="Heading2"/>
        <w:spacing w:before="300" w:after="160"/>
      </w:pPr>
      <w:r>
        <w:rPr>
          <w:rFonts w:ascii="Arial" w:cs="Arial" w:eastAsia="Arial" w:hAnsi="Arial"/>
        </w:rPr>
        <w:t xml:space="preserve">Default Parameter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TX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amateur base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Antenna Gain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dBi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 X-50 class collinear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Antenna Height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ft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Roof-mounted mast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Cable Loss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ft RG-8X + connectors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 TX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HT high power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 Antenna Gain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dBi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Stock rubber duck antenna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 Antenna Height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Held at chest height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Frequency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 MHz</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2-meter band center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Fade Margin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edge reliability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RX Sensitivity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 dBm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Conservative planning figure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Derate 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(checkbox)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5 dB path loss penalty (≈25% range cut)</w:t>
            </w:r>
          </w:p>
        </w:tc>
      </w:tr>
    </w:tbl>
    <w:p>
      <w:pPr>
        <w:spacing w:after="160"/>
      </w:pPr>
    </w:p>
    <w:p>
      <w:pPr>
        <w:pStyle w:val="Heading2"/>
        <w:spacing w:before="300" w:after="160"/>
      </w:pPr>
      <w:r>
        <w:rPr>
          <w:rFonts w:ascii="Arial" w:cs="Arial" w:eastAsia="Arial" w:hAnsi="Arial"/>
        </w:rPr>
        <w:t xml:space="preserve">Terrain Engine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DEM Source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(USGS NED control points + IDW interpolation + Gaussian peak injection)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Grid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111×121 = 13,431 points at 0.01° (~1.1 km) spacing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Coverage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counties, ~35 mi radius from DeKalb center (33.25–34.35°N, 84.75–83.55°W)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Interpolation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Bilinear interpolation of four nearest grid 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Effective Height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hb_eff = mast + Δelevation, clamped [mast..300 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Profile Samples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(coverage/links), 50 (path diagnostic)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Coverage Radials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bearings per station (every 10°), polygon output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Diffraction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Bullington single knife-edge with Fresnel zone clearance check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Terrain Loss Range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dB (clear LOS) to 30 dB cap (deep obstruction)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Binary Search Range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0.2–120 km (accommodates elevated sites)</w:t>
            </w:r>
          </w:p>
        </w:tc>
      </w:tr>
    </w:tbl>
    <w:p>
      <w:pPr>
        <w:spacing w:after="160"/>
      </w:pPr>
    </w:p>
    <w:p>
      <w:pPr>
        <w:pStyle w:val="Heading2"/>
        <w:spacing w:before="300" w:after="160"/>
      </w:pPr>
      <w:r>
        <w:rPr>
          <w:rFonts w:ascii="Arial" w:cs="Arial" w:eastAsia="Arial" w:hAnsi="Arial"/>
        </w:rPr>
        <w:t xml:space="preserve">Deployment Site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47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6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Marker</w:t>
            </w:r>
          </w:p>
        </w:tc>
        <w:tc>
          <w:tcPr>
            <w:tcW w:type="dxa" w:w="47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Sites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Fire Stations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DCFR Stations 1–26</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4081"/>
                <w:sz w:val="20"/>
                <w:szCs w:val="20"/>
              </w:rPr>
              <w:t xml:space="preserve">Mountain Summits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Triangle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Stone Mtn (1,686 ft), Arabia Mtn (955 ft), Panola Mtn (940 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CD4"/>
                <w:sz w:val="20"/>
                <w:szCs w:val="20"/>
              </w:rPr>
              <w:t xml:space="preserve">Command/Infra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DCFR HQ/EOC (Tucker), PDK Airport, CDC Roybal Campus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Hospitals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Square+cross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Emory Univ, Emory Decatur, Emory Hillandale</w:t>
            </w:r>
          </w:p>
        </w:tc>
      </w:tr>
    </w:tbl>
    <w:p>
      <w:pPr>
        <w:spacing w:after="160"/>
      </w:pPr>
    </w:p>
    <w:p>
      <w:pPr>
        <w:pStyle w:val="Heading2"/>
        <w:spacing w:before="300" w:after="160"/>
      </w:pPr>
      <w:r>
        <w:rPr>
          <w:rFonts w:ascii="Arial" w:cs="Arial" w:eastAsia="Arial" w:hAnsi="Arial"/>
        </w:rPr>
        <w:t xml:space="preserve">Link Quality Thresholds</w:t>
      </w:r>
    </w:p>
    <w:p>
      <w:pPr>
        <w:pStyle w:val="Heading2"/>
        <w:spacing w:before="300" w:after="160"/>
      </w:pPr>
      <w:r>
        <w:rPr>
          <w:rFonts w:ascii="Arial" w:cs="Arial" w:eastAsia="Arial" w:hAnsi="Arial"/>
        </w:rPr>
        <w:t xml:space="preserve">Frequency Plan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100"/>
        <w:gridCol w:w="2400"/>
        <w:gridCol w:w="2660"/>
      </w:tblGrid>
      <w:tr>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1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CTCSS</w:t>
            </w:r>
          </w:p>
        </w:tc>
        <w:tc>
          <w:tcPr>
            <w:tcW w:type="dxa" w:w="2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Band Plan Segment</w:t>
            </w:r>
          </w:p>
        </w:tc>
        <w:tc>
          <w:tcPr>
            <w:tcW w:type="dxa" w:w="26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Dual-Watch Slot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Tactical Net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146.460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 simplex (146.40–146.58)</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VHF-A (always)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5797"/>
                <w:sz w:val="20"/>
                <w:szCs w:val="20"/>
              </w:rPr>
              <w:t xml:space="preserve">SR North Zone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147.420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B5797"/>
                <w:sz w:val="20"/>
                <w:szCs w:val="20"/>
              </w:rPr>
              <w:t xml:space="preserve">141.3 Hz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 simplex (147.42–147.57)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VHF-B (north)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SR South Zone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147.510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186.2 Hz</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 simplex (147.42–147.57)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VHF-B (south)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Tac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446.000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70cm national simplex</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UHF (as needed)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DO NOT 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146.520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calling frequency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clear</w:t>
            </w:r>
          </w:p>
        </w:tc>
      </w:tr>
    </w:tbl>
    <w:p>
      <w:pPr>
        <w:spacing w:after="160"/>
      </w:pPr>
    </w:p>
    <w:p>
      <w:pPr>
        <w:pStyle w:val="Heading2"/>
        <w:spacing w:before="300" w:after="160"/>
      </w:pPr>
      <w:r>
        <w:rPr>
          <w:rFonts w:ascii="Arial" w:cs="Arial" w:eastAsia="Arial" w:hAnsi="Arial"/>
        </w:rPr>
        <w:t xml:space="preserve">Link Quality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Margin</w:t>
            </w:r>
          </w:p>
        </w:tc>
        <w:tc>
          <w:tcPr>
            <w:tcW w:type="dxa" w:w="48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PASS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6 dB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Reliable for planning. Link has sufficient margin to handle model uncertainty, terrain approximation, and real-world degradation.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8800"/>
                <w:sz w:val="20"/>
                <w:szCs w:val="20"/>
              </w:rPr>
              <w:t xml:space="preserve">MARGINAL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to 6 dB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work under good conditions but should not be relied upon. Consider improving antennas, increasing height, or adding an SR relay.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3333"/>
                <w:sz w:val="20"/>
                <w:szCs w:val="20"/>
              </w:rPr>
              <w:t xml:space="preserve">FAIL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 dB</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Insufficient link budget. Direct communication not expected. An SR relay, higher antenna, or improved antenna system is needed.</w:t>
            </w:r>
          </w:p>
        </w:tc>
      </w:tr>
    </w:tbl>
    <w:p>
      <w:pPr>
        <w:spacing w:after="160"/>
      </w:pPr>
    </w:p>
    <w:p>
      <w:pPr>
        <w:pStyle w:val="Heading2"/>
        <w:spacing w:before="300" w:after="160"/>
      </w:pPr>
      <w:r>
        <w:rPr>
          <w:rFonts w:ascii="Arial" w:cs="Arial" w:eastAsia="Arial" w:hAnsi="Arial"/>
        </w:rPr>
        <w:t xml:space="preserve">Range Derating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1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Derate Off</w:t>
            </w:r>
          </w:p>
        </w:tc>
        <w:tc>
          <w:tcPr>
            <w:tcW w:type="dxa" w:w="318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Derate On (-25%)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Recommended for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Optimistic upper bound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planning figure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Path loss adjustment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Hata + terrain only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Hata + terrain + 5 dB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Info panel label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Hata + Terrain (teal)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Hata + Terrain -25% (amber)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Typical HT 5W range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mi (varies by bearing)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mi (varies by bearing)</w:t>
            </w:r>
          </w:p>
        </w:tc>
      </w:tr>
    </w:tbl>
    <w:p>
      <w:pPr>
        <w:spacing w:after="160"/>
      </w:pPr>
    </w:p>
    <w:p>
      <w:pPr>
        <w:spacing w:after="160"/>
      </w:pPr>
    </w:p>
    <w:p>
      <w:pPr>
        <w:pBdr>
          <w:top w:val="single" w:color="CCCCCC" w:sz="6" w:space="8"/>
        </w:pBdr>
        <w:spacing w:before="400"/>
        <w:jc w:val="center"/>
      </w:pPr>
      <w:r>
        <w:rPr>
          <w:rFonts w:ascii="Arial" w:cs="Arial" w:eastAsia="Arial" w:hAnsi="Arial"/>
          <w:i/>
          <w:iCs/>
          <w:color w:val="999999"/>
          <w:sz w:val="18"/>
          <w:szCs w:val="18"/>
        </w:rPr>
        <w:t xml:space="preserve">DeKalb County VHF Coverage Planner v1.3</w:t>
      </w:r>
    </w:p>
    <w:p>
      <w:pPr>
        <w:jc w:val="center"/>
      </w:pPr>
      <w:r>
        <w:rPr>
          <w:rFonts w:ascii="Arial" w:cs="Arial" w:eastAsia="Arial" w:hAnsi="Arial"/>
          <w:i/>
          <w:iCs/>
          <w:color w:val="999999"/>
          <w:sz w:val="18"/>
          <w:szCs w:val="18"/>
        </w:rPr>
        <w:t xml:space="preserve">DCFR EMCOMM Planning • Hata + Terrain • Copernicus DEM • ARRL 2m Band Plan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DeKalb County VHF Coverage Planner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2026-03-19T12:34:53.943Z</dcterms:created>
  <dcterms:modified xsi:type="dcterms:W3CDTF">2026-03-19T12:34:53.944Z</dcterms:modified>
</cp:coreProperties>
</file>

<file path=docProps/custom.xml><?xml version="1.0" encoding="utf-8"?>
<Properties xmlns="http://schemas.openxmlformats.org/officeDocument/2006/custom-properties" xmlns:vt="http://schemas.openxmlformats.org/officeDocument/2006/docPropsVTypes"/>
</file>