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Graph-based Learning-to-Dispatch for Dynamic Job Shop Scheduling with Topology Generalization</w:t>
      </w:r>
    </w:p>
    <w:p>
      <w:pPr>
        <w:jc w:val="center"/>
      </w:pPr>
      <w:r>
        <w:rPr>
          <w:color w:val="646464"/>
          <w:sz w:val="20"/>
        </w:rPr>
        <w:t>Manuscript in preparation | August 2026</w:t>
      </w:r>
    </w:p>
    <w:p>
      <w:pPr>
        <w:pStyle w:val="Heading1"/>
      </w:pPr>
      <w:r>
        <w:rPr>
          <w:rFonts w:ascii="Times New Roman" w:hAnsi="Times New Roman"/>
        </w:rPr>
        <w:t>Abstract</w:t>
      </w:r>
    </w:p>
    <w:p>
      <w:pPr>
        <w:ind w:firstLine="425"/>
      </w:pPr>
      <w:r>
        <w:rPr>
          <w:rFonts w:ascii="Times New Roman" w:hAnsi="Times New Roman"/>
          <w:sz w:val="22"/>
        </w:rPr>
        <w:t>Job shop scheduling (JSS) is a fundamental combinatorial optimization problem in manufacturing systems. While dispatching rules such as Shortest Processing Time (SPT) remain the dominant industrial practice due to their interpretability and speed, no single rule performs consistently across diverse shop configurations. We propose a Graph Neural Network (GNN) learning-to-dispatch (L2D) framework that learns state-dependent operation selection from optimal trajectories generated by CP-SAT. The trained policy dynamically combines dispatching principles and generalizes to unseen topologies without retraining. Experiments on 50 held-out 6x5 instances show the learned policy improves makespan by 9.1% over SPT (129.4 vs 142.4, paired t-test p&lt;0.0001, 41/50 wins), approaches the best-of-5 heuristic oracle (125.1), and maintains consistent advantages across zero-shot transfers to 5x5, 8x5, and 6x8 configurations. In a dynamic arrival scenario, the static-trained policy achieves 175.3 vs 192.0 for SPT (p=0.021, 32/50 wins). The proposed approach requires no hand-crafted features and provides an interpretable, deployable alternative to pure optimization solvers for real-time manufacturing scheduling.</w:t>
      </w:r>
    </w:p>
    <w:p>
      <w:pPr>
        <w:pStyle w:val="Heading1"/>
      </w:pPr>
      <w:r>
        <w:rPr>
          <w:rFonts w:ascii="Times New Roman" w:hAnsi="Times New Roman"/>
        </w:rPr>
        <w:t>1. Introduction</w:t>
      </w:r>
    </w:p>
    <w:p>
      <w:pPr>
        <w:ind w:firstLine="425"/>
      </w:pPr>
      <w:r>
        <w:rPr>
          <w:rFonts w:ascii="Times New Roman" w:hAnsi="Times New Roman"/>
          <w:sz w:val="22"/>
        </w:rPr>
        <w:t>Manufacturing scheduling determines how jobs are sequenced on shared machines. Dynamic job shops---where orders arrive stochastically and machine availability varies---are common in flexible manufacturing systems. Exact methods (mixed-integer programming, constraint programming) provide optimal schedules but scale poorly to real-time decisions. Dispatching rules (SPT, LPT, MWKR, LWKR, FIFO) are fast and interpretable but no single rule dominates across all states and topologies.</w:t>
      </w:r>
    </w:p>
    <w:p>
      <w:pPr>
        <w:ind w:firstLine="425"/>
      </w:pPr>
      <w:r>
        <w:rPr>
          <w:rFonts w:ascii="Times New Roman" w:hAnsi="Times New Roman"/>
          <w:sz w:val="22"/>
        </w:rPr>
        <w:t>Recent advances in graph neural networks (GNNs) and reinforcement learning have enabled learning-to-dispatch (L2D): train a policy to select operations at each decision step, supervised by optimal or expert trajectories. Existing L2D methods typically assume a fixed shop topology (e.g., 6 jobs x 5 machines) and retrain when topology changes. We address this gap by proposing a padded, topology-agnostic GNN policy that transfers zero-shot across shop sizes.</w:t>
      </w:r>
    </w:p>
    <w:p>
      <w:pPr>
        <w:ind w:firstLine="425"/>
      </w:pPr>
      <w:r>
        <w:rPr>
          <w:rFonts w:ascii="Times New Roman" w:hAnsi="Times New Roman"/>
          <w:sz w:val="22"/>
        </w:rPr>
        <w:t>Our contributions are: (1) a CP-SAT supervised GNN policy for JSS that consistently outperforms the best single dispatching rule; (2) zero-shot topology generalization across different job and machine counts; (3) robust transfer from static training to dynamic job arrival scenarios; and (4) a reproducible open implementation.</w:t>
      </w:r>
    </w:p>
    <w:p>
      <w:pPr>
        <w:pStyle w:val="Heading1"/>
      </w:pPr>
      <w:r>
        <w:rPr>
          <w:rFonts w:ascii="Times New Roman" w:hAnsi="Times New Roman"/>
        </w:rPr>
        <w:t>2. Method</w:t>
      </w:r>
    </w:p>
    <w:p>
      <w:pPr>
        <w:pStyle w:val="Heading2"/>
      </w:pPr>
      <w:r>
        <w:rPr>
          <w:rFonts w:ascii="Times New Roman" w:hAnsi="Times New Roman"/>
        </w:rPr>
        <w:t>2.1 Job Shop Environment</w:t>
      </w:r>
    </w:p>
    <w:p>
      <w:pPr>
        <w:ind w:firstLine="425"/>
      </w:pPr>
      <w:r>
        <w:rPr>
          <w:rFonts w:ascii="Times New Roman" w:hAnsi="Times New Roman"/>
          <w:sz w:val="22"/>
        </w:rPr>
        <w:t>We model a job shop as a deterministic scheduling problem: each job j has an ordered sequence of operations, each requiring a specific machine with processing time p_{j,m}. The environment advances time only when no operation can start, allowing concurrent machine usage while enforcing job precedence constraints. State features per job include: current operation duration, remaining work, total work, and progress.</w:t>
      </w:r>
    </w:p>
    <w:p>
      <w:pPr>
        <w:pStyle w:val="Heading2"/>
      </w:pPr>
      <w:r>
        <w:rPr>
          <w:rFonts w:ascii="Times New Roman" w:hAnsi="Times New Roman"/>
        </w:rPr>
        <w:t>2.2 GNN Policy</w:t>
      </w:r>
    </w:p>
    <w:p>
      <w:pPr>
        <w:ind w:firstLine="425"/>
      </w:pPr>
      <w:r>
        <w:rPr>
          <w:rFonts w:ascii="Times New Roman" w:hAnsi="Times New Roman"/>
          <w:sz w:val="22"/>
        </w:rPr>
        <w:t>A graph attention network (GAT) encodes job-level states into embeddings. A policy head scores available operations; the highest-scoring available operation is selected at each decision step. For topology generalization, we zero-pad job features to a maximum size (10 jobs) and mask unavailable jobs during selection.</w:t>
      </w:r>
    </w:p>
    <w:p>
      <w:pPr>
        <w:pStyle w:val="Heading2"/>
      </w:pPr>
      <w:r>
        <w:rPr>
          <w:rFonts w:ascii="Times New Roman" w:hAnsi="Times New Roman"/>
        </w:rPr>
        <w:t>2.3 Expert Trajectories via CP-SAT</w:t>
      </w:r>
    </w:p>
    <w:p>
      <w:pPr>
        <w:ind w:firstLine="425"/>
      </w:pPr>
      <w:r>
        <w:rPr>
          <w:rFonts w:ascii="Times New Roman" w:hAnsi="Times New Roman"/>
          <w:sz w:val="22"/>
        </w:rPr>
        <w:t>We use Google OR-Tools CP-SAT to solve each training instance to optimality. The optimal schedule induces expert actions: at each state, select the available operation whose optimal start time is earliest. This provides strong supervision without heuristic noise.</w:t>
      </w:r>
    </w:p>
    <w:p>
      <w:pPr>
        <w:pStyle w:val="Heading1"/>
      </w:pPr>
      <w:r>
        <w:rPr>
          <w:rFonts w:ascii="Times New Roman" w:hAnsi="Times New Roman"/>
        </w:rPr>
        <w:t>3. Experiments</w:t>
      </w:r>
    </w:p>
    <w:p>
      <w:pPr>
        <w:pStyle w:val="Heading2"/>
      </w:pPr>
      <w:r>
        <w:rPr>
          <w:rFonts w:ascii="Times New Roman" w:hAnsi="Times New Roman"/>
        </w:rPr>
        <w:t>3.1 Setup</w:t>
      </w:r>
    </w:p>
    <w:p>
      <w:pPr>
        <w:ind w:firstLine="425"/>
      </w:pPr>
      <w:r>
        <w:rPr>
          <w:rFonts w:ascii="Times New Roman" w:hAnsi="Times New Roman"/>
          <w:sz w:val="22"/>
        </w:rPr>
        <w:t>Training: 100 random 6x5 instances (processing times U[1,20]). Expert: CP-SAT optimal schedules (5s time limit). Model: 2-layer GAT, hidden 64, MLP policy head. Training: cross-entropy, Adam lr=1e-3, 50 epochs, batch 64. Evaluation: 50 held-out instances per configuration.</w:t>
      </w:r>
    </w:p>
    <w:p>
      <w:pPr>
        <w:pStyle w:val="Heading2"/>
      </w:pPr>
      <w:r>
        <w:rPr>
          <w:rFonts w:ascii="Times New Roman" w:hAnsi="Times New Roman"/>
        </w:rPr>
        <w:t>3.2 Static Scheduling Results</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Method</w:t>
            </w:r>
          </w:p>
        </w:tc>
        <w:tc>
          <w:tcPr>
            <w:tcW w:type="dxa" w:w="2351"/>
          </w:tcPr>
          <w:p>
            <w:r>
              <w:rPr>
                <w:b/>
                <w:sz w:val="20"/>
              </w:rPr>
              <w:t>Makespan (mean ± std)</w:t>
            </w:r>
          </w:p>
        </w:tc>
        <w:tc>
          <w:tcPr>
            <w:tcW w:type="dxa" w:w="2351"/>
          </w:tcPr>
          <w:p>
            <w:r>
              <w:rPr>
                <w:b/>
                <w:sz w:val="20"/>
              </w:rPr>
              <w:t>Wins</w:t>
            </w:r>
          </w:p>
        </w:tc>
        <w:tc>
          <w:tcPr>
            <w:tcW w:type="dxa" w:w="2351"/>
          </w:tcPr>
          <w:p>
            <w:r>
              <w:rPr>
                <w:b/>
                <w:sz w:val="20"/>
              </w:rPr>
              <w:t>p-value vs GNN-L2D</w:t>
            </w:r>
          </w:p>
        </w:tc>
      </w:tr>
      <w:tr>
        <w:tc>
          <w:tcPr>
            <w:tcW w:type="dxa" w:w="2351"/>
          </w:tcPr>
          <w:p>
            <w:r>
              <w:rPr>
                <w:sz w:val="20"/>
              </w:rPr>
              <w:t>GNN-L2D (ours)</w:t>
            </w:r>
          </w:p>
        </w:tc>
        <w:tc>
          <w:tcPr>
            <w:tcW w:type="dxa" w:w="2351"/>
          </w:tcPr>
          <w:p>
            <w:r>
              <w:rPr>
                <w:sz w:val="20"/>
              </w:rPr>
              <w:t>129.4 ± 14.4</w:t>
            </w:r>
          </w:p>
        </w:tc>
        <w:tc>
          <w:tcPr>
            <w:tcW w:type="dxa" w:w="2351"/>
          </w:tcPr>
          <w:p>
            <w:r>
              <w:rPr>
                <w:sz w:val="20"/>
              </w:rPr>
              <w:t>-</w:t>
            </w:r>
          </w:p>
        </w:tc>
        <w:tc>
          <w:tcPr>
            <w:tcW w:type="dxa" w:w="2351"/>
          </w:tcPr>
          <w:p>
            <w:r>
              <w:rPr>
                <w:sz w:val="20"/>
              </w:rPr>
              <w:t>-</w:t>
            </w:r>
          </w:p>
        </w:tc>
      </w:tr>
      <w:tr>
        <w:tc>
          <w:tcPr>
            <w:tcW w:type="dxa" w:w="2351"/>
          </w:tcPr>
          <w:p>
            <w:r>
              <w:rPr>
                <w:sz w:val="20"/>
              </w:rPr>
              <w:t>SPT</w:t>
            </w:r>
          </w:p>
        </w:tc>
        <w:tc>
          <w:tcPr>
            <w:tcW w:type="dxa" w:w="2351"/>
          </w:tcPr>
          <w:p>
            <w:r>
              <w:rPr>
                <w:sz w:val="20"/>
              </w:rPr>
              <w:t>142.4 ± 15.1</w:t>
            </w:r>
          </w:p>
        </w:tc>
        <w:tc>
          <w:tcPr>
            <w:tcW w:type="dxa" w:w="2351"/>
          </w:tcPr>
          <w:p>
            <w:r>
              <w:rPr>
                <w:sz w:val="20"/>
              </w:rPr>
              <w:t>9/50</w:t>
            </w:r>
          </w:p>
        </w:tc>
        <w:tc>
          <w:tcPr>
            <w:tcW w:type="dxa" w:w="2351"/>
          </w:tcPr>
          <w:p>
            <w:r>
              <w:rPr>
                <w:sz w:val="20"/>
              </w:rPr>
              <w:t>&lt;0.0001</w:t>
            </w:r>
          </w:p>
        </w:tc>
      </w:tr>
      <w:tr>
        <w:tc>
          <w:tcPr>
            <w:tcW w:type="dxa" w:w="2351"/>
          </w:tcPr>
          <w:p>
            <w:r>
              <w:rPr>
                <w:sz w:val="20"/>
              </w:rPr>
              <w:t>LPT</w:t>
            </w:r>
          </w:p>
        </w:tc>
        <w:tc>
          <w:tcPr>
            <w:tcW w:type="dxa" w:w="2351"/>
          </w:tcPr>
          <w:p>
            <w:r>
              <w:rPr>
                <w:sz w:val="20"/>
              </w:rPr>
              <w:t>~160</w:t>
            </w:r>
          </w:p>
        </w:tc>
        <w:tc>
          <w:tcPr>
            <w:tcW w:type="dxa" w:w="2351"/>
          </w:tcPr>
          <w:p>
            <w:r>
              <w:rPr>
                <w:sz w:val="20"/>
              </w:rPr>
              <w:t>0/50</w:t>
            </w:r>
          </w:p>
        </w:tc>
        <w:tc>
          <w:tcPr>
            <w:tcW w:type="dxa" w:w="2351"/>
          </w:tcPr>
          <w:p>
            <w:r>
              <w:rPr>
                <w:sz w:val="20"/>
              </w:rPr>
              <w:t>&lt;0.0001</w:t>
            </w:r>
          </w:p>
        </w:tc>
      </w:tr>
      <w:tr>
        <w:tc>
          <w:tcPr>
            <w:tcW w:type="dxa" w:w="2351"/>
          </w:tcPr>
          <w:p>
            <w:r>
              <w:rPr>
                <w:sz w:val="20"/>
              </w:rPr>
              <w:t>MWKR</w:t>
            </w:r>
          </w:p>
        </w:tc>
        <w:tc>
          <w:tcPr>
            <w:tcW w:type="dxa" w:w="2351"/>
          </w:tcPr>
          <w:p>
            <w:r>
              <w:rPr>
                <w:sz w:val="20"/>
              </w:rPr>
              <w:t>~155</w:t>
            </w:r>
          </w:p>
        </w:tc>
        <w:tc>
          <w:tcPr>
            <w:tcW w:type="dxa" w:w="2351"/>
          </w:tcPr>
          <w:p>
            <w:r>
              <w:rPr>
                <w:sz w:val="20"/>
              </w:rPr>
              <w:t>0/50</w:t>
            </w:r>
          </w:p>
        </w:tc>
        <w:tc>
          <w:tcPr>
            <w:tcW w:type="dxa" w:w="2351"/>
          </w:tcPr>
          <w:p>
            <w:r>
              <w:rPr>
                <w:sz w:val="20"/>
              </w:rPr>
              <w:t>&lt;0.0001</w:t>
            </w:r>
          </w:p>
        </w:tc>
      </w:tr>
      <w:tr>
        <w:tc>
          <w:tcPr>
            <w:tcW w:type="dxa" w:w="2351"/>
          </w:tcPr>
          <w:p>
            <w:r>
              <w:rPr>
                <w:sz w:val="20"/>
              </w:rPr>
              <w:t>LWKR</w:t>
            </w:r>
          </w:p>
        </w:tc>
        <w:tc>
          <w:tcPr>
            <w:tcW w:type="dxa" w:w="2351"/>
          </w:tcPr>
          <w:p>
            <w:r>
              <w:rPr>
                <w:sz w:val="20"/>
              </w:rPr>
              <w:t>~150</w:t>
            </w:r>
          </w:p>
        </w:tc>
        <w:tc>
          <w:tcPr>
            <w:tcW w:type="dxa" w:w="2351"/>
          </w:tcPr>
          <w:p>
            <w:r>
              <w:rPr>
                <w:sz w:val="20"/>
              </w:rPr>
              <w:t>0/50</w:t>
            </w:r>
          </w:p>
        </w:tc>
        <w:tc>
          <w:tcPr>
            <w:tcW w:type="dxa" w:w="2351"/>
          </w:tcPr>
          <w:p>
            <w:r>
              <w:rPr>
                <w:sz w:val="20"/>
              </w:rPr>
              <w:t>&lt;0.0001</w:t>
            </w:r>
          </w:p>
        </w:tc>
      </w:tr>
      <w:tr>
        <w:tc>
          <w:tcPr>
            <w:tcW w:type="dxa" w:w="2351"/>
          </w:tcPr>
          <w:p>
            <w:r>
              <w:rPr>
                <w:sz w:val="20"/>
              </w:rPr>
              <w:t>FIFO</w:t>
            </w:r>
          </w:p>
        </w:tc>
        <w:tc>
          <w:tcPr>
            <w:tcW w:type="dxa" w:w="2351"/>
          </w:tcPr>
          <w:p>
            <w:r>
              <w:rPr>
                <w:sz w:val="20"/>
              </w:rPr>
              <w:t>~148</w:t>
            </w:r>
          </w:p>
        </w:tc>
        <w:tc>
          <w:tcPr>
            <w:tcW w:type="dxa" w:w="2351"/>
          </w:tcPr>
          <w:p>
            <w:r>
              <w:rPr>
                <w:sz w:val="20"/>
              </w:rPr>
              <w:t>0/50</w:t>
            </w:r>
          </w:p>
        </w:tc>
        <w:tc>
          <w:tcPr>
            <w:tcW w:type="dxa" w:w="2351"/>
          </w:tcPr>
          <w:p>
            <w:r>
              <w:rPr>
                <w:sz w:val="20"/>
              </w:rPr>
              <w:t>&lt;0.0001</w:t>
            </w:r>
          </w:p>
        </w:tc>
      </w:tr>
      <w:tr>
        <w:tc>
          <w:tcPr>
            <w:tcW w:type="dxa" w:w="2351"/>
          </w:tcPr>
          <w:p>
            <w:r>
              <w:rPr>
                <w:sz w:val="20"/>
              </w:rPr>
              <w:t>Best-of-5 oracle</w:t>
            </w:r>
          </w:p>
        </w:tc>
        <w:tc>
          <w:tcPr>
            <w:tcW w:type="dxa" w:w="2351"/>
          </w:tcPr>
          <w:p>
            <w:r>
              <w:rPr>
                <w:sz w:val="20"/>
              </w:rPr>
              <w:t>125.1 ± 11.9</w:t>
            </w:r>
          </w:p>
        </w:tc>
        <w:tc>
          <w:tcPr>
            <w:tcW w:type="dxa" w:w="2351"/>
          </w:tcPr>
          <w:p>
            <w:r>
              <w:rPr>
                <w:sz w:val="20"/>
              </w:rPr>
              <w:t>-</w:t>
            </w:r>
          </w:p>
        </w:tc>
        <w:tc>
          <w:tcPr>
            <w:tcW w:type="dxa" w:w="2351"/>
          </w:tcPr>
          <w:p>
            <w:r>
              <w:rPr>
                <w:sz w:val="20"/>
              </w:rPr>
              <w:t>0.013</w:t>
            </w:r>
          </w:p>
        </w:tc>
      </w:tr>
      <w:tr>
        <w:tc>
          <w:tcPr>
            <w:tcW w:type="dxa" w:w="2351"/>
          </w:tcPr>
          <w:p>
            <w:r>
              <w:rPr>
                <w:sz w:val="20"/>
              </w:rPr>
              <w:t>OR-Tools CP-SAT</w:t>
            </w:r>
          </w:p>
        </w:tc>
        <w:tc>
          <w:tcPr>
            <w:tcW w:type="dxa" w:w="2351"/>
          </w:tcPr>
          <w:p>
            <w:r>
              <w:rPr>
                <w:sz w:val="20"/>
              </w:rPr>
              <w:t>109.7 ± 11.2</w:t>
            </w:r>
          </w:p>
        </w:tc>
        <w:tc>
          <w:tcPr>
            <w:tcW w:type="dxa" w:w="2351"/>
          </w:tcPr>
          <w:p>
            <w:r>
              <w:rPr>
                <w:sz w:val="20"/>
              </w:rPr>
              <w:t>-</w:t>
            </w:r>
          </w:p>
        </w:tc>
        <w:tc>
          <w:tcPr>
            <w:tcW w:type="dxa" w:w="2351"/>
          </w:tcPr>
          <w:p>
            <w:r>
              <w:rPr>
                <w:sz w:val="20"/>
              </w:rPr>
              <w:t>&lt;0.0001</w:t>
            </w:r>
          </w:p>
        </w:tc>
      </w:tr>
    </w:tbl>
    <w:p>
      <w:r>
        <w:rPr>
          <w:i/>
          <w:sz w:val="18"/>
        </w:rPr>
        <w:t>Table 1. Static 6x5 job shop scheduling results over 50 held-out instances.</w:t>
      </w:r>
    </w:p>
    <w:p>
      <w:pPr>
        <w:jc w:val="center"/>
      </w:pPr>
      <w:r>
        <w:drawing>
          <wp:inline xmlns:a="http://schemas.openxmlformats.org/drawingml/2006/main" xmlns:pic="http://schemas.openxmlformats.org/drawingml/2006/picture">
            <wp:extent cx="4680000" cy="2925000"/>
            <wp:docPr id="1" name="Picture 1"/>
            <wp:cNvGraphicFramePr>
              <a:graphicFrameLocks noChangeAspect="1"/>
            </wp:cNvGraphicFramePr>
            <a:graphic>
              <a:graphicData uri="http://schemas.openxmlformats.org/drawingml/2006/picture">
                <pic:pic>
                  <pic:nvPicPr>
                    <pic:cNvPr id="0" name="fig1_static_results.png"/>
                    <pic:cNvPicPr/>
                  </pic:nvPicPr>
                  <pic:blipFill>
                    <a:blip r:embed="rId9"/>
                    <a:stretch>
                      <a:fillRect/>
                    </a:stretch>
                  </pic:blipFill>
                  <pic:spPr>
                    <a:xfrm>
                      <a:off x="0" y="0"/>
                      <a:ext cx="4680000" cy="2925000"/>
                    </a:xfrm>
                    <a:prstGeom prst="rect"/>
                  </pic:spPr>
                </pic:pic>
              </a:graphicData>
            </a:graphic>
          </wp:inline>
        </w:drawing>
      </w:r>
    </w:p>
    <w:p>
      <w:pPr>
        <w:jc w:val="center"/>
      </w:pPr>
      <w:r>
        <w:rPr>
          <w:i/>
          <w:sz w:val="18"/>
        </w:rPr>
        <w:t>Figure 1. Average makespan over 50 static 6x5 instances.</w:t>
      </w:r>
    </w:p>
    <w:p>
      <w:pPr>
        <w:ind w:firstLine="425"/>
      </w:pPr>
      <w:r>
        <w:rPr>
          <w:rFonts w:ascii="Times New Roman" w:hAnsi="Times New Roman"/>
          <w:sz w:val="22"/>
        </w:rPr>
        <w:t>The GNN policy significantly outperforms SPT (paired t-test t=-6.25, p&lt;0.0001), winning 41 of 50 instances. It is within 3.4% of the best-of-5 heuristic oracle and maintains an optimality gap of 17.9% versus CP-SAT, while requiring no hand-crafted features and executing decisions in milliseconds.</w:t>
      </w:r>
    </w:p>
    <w:p>
      <w:pPr>
        <w:pStyle w:val="Heading2"/>
      </w:pPr>
      <w:r>
        <w:rPr>
          <w:rFonts w:ascii="Times New Roman" w:hAnsi="Times New Roman"/>
        </w:rPr>
        <w:t>3.3 Zero-shot Topology Generalization</w:t>
      </w:r>
    </w:p>
    <w:p>
      <w:pPr>
        <w:jc w:val="center"/>
      </w:pPr>
      <w:r>
        <w:drawing>
          <wp:inline xmlns:a="http://schemas.openxmlformats.org/drawingml/2006/main" xmlns:pic="http://schemas.openxmlformats.org/drawingml/2006/picture">
            <wp:extent cx="4680000" cy="2925000"/>
            <wp:docPr id="2" name="Picture 2"/>
            <wp:cNvGraphicFramePr>
              <a:graphicFrameLocks noChangeAspect="1"/>
            </wp:cNvGraphicFramePr>
            <a:graphic>
              <a:graphicData uri="http://schemas.openxmlformats.org/drawingml/2006/picture">
                <pic:pic>
                  <pic:nvPicPr>
                    <pic:cNvPr id="0" name="fig2_generalization.png"/>
                    <pic:cNvPicPr/>
                  </pic:nvPicPr>
                  <pic:blipFill>
                    <a:blip r:embed="rId10"/>
                    <a:stretch>
                      <a:fillRect/>
                    </a:stretch>
                  </pic:blipFill>
                  <pic:spPr>
                    <a:xfrm>
                      <a:off x="0" y="0"/>
                      <a:ext cx="4680000" cy="2925000"/>
                    </a:xfrm>
                    <a:prstGeom prst="rect"/>
                  </pic:spPr>
                </pic:pic>
              </a:graphicData>
            </a:graphic>
          </wp:inline>
        </w:drawing>
      </w:r>
    </w:p>
    <w:p>
      <w:pPr>
        <w:jc w:val="center"/>
      </w:pPr>
      <w:r>
        <w:rPr>
          <w:i/>
          <w:sz w:val="18"/>
        </w:rPr>
        <w:t>Figure 2. Zero-shot transfer to unseen shop topologies.</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Configuration</w:t>
            </w:r>
          </w:p>
        </w:tc>
        <w:tc>
          <w:tcPr>
            <w:tcW w:type="dxa" w:w="2351"/>
          </w:tcPr>
          <w:p>
            <w:r>
              <w:rPr>
                <w:b/>
                <w:sz w:val="20"/>
              </w:rPr>
              <w:t>GNN-L2D</w:t>
            </w:r>
          </w:p>
        </w:tc>
        <w:tc>
          <w:tcPr>
            <w:tcW w:type="dxa" w:w="2351"/>
          </w:tcPr>
          <w:p>
            <w:r>
              <w:rPr>
                <w:b/>
                <w:sz w:val="20"/>
              </w:rPr>
              <w:t>SPT</w:t>
            </w:r>
          </w:p>
        </w:tc>
        <w:tc>
          <w:tcPr>
            <w:tcW w:type="dxa" w:w="2351"/>
          </w:tcPr>
          <w:p>
            <w:r>
              <w:rPr>
                <w:b/>
                <w:sz w:val="20"/>
              </w:rPr>
              <w:t>Improvement</w:t>
            </w:r>
          </w:p>
        </w:tc>
      </w:tr>
      <w:tr>
        <w:tc>
          <w:tcPr>
            <w:tcW w:type="dxa" w:w="2351"/>
          </w:tcPr>
          <w:p>
            <w:r>
              <w:rPr>
                <w:sz w:val="20"/>
              </w:rPr>
              <w:t>6x5 (same size)</w:t>
            </w:r>
          </w:p>
        </w:tc>
        <w:tc>
          <w:tcPr>
            <w:tcW w:type="dxa" w:w="2351"/>
          </w:tcPr>
          <w:p>
            <w:r>
              <w:rPr>
                <w:sz w:val="20"/>
              </w:rPr>
              <w:t>127.5</w:t>
            </w:r>
          </w:p>
        </w:tc>
        <w:tc>
          <w:tcPr>
            <w:tcW w:type="dxa" w:w="2351"/>
          </w:tcPr>
          <w:p>
            <w:r>
              <w:rPr>
                <w:sz w:val="20"/>
              </w:rPr>
              <w:t>142.4</w:t>
            </w:r>
          </w:p>
        </w:tc>
        <w:tc>
          <w:tcPr>
            <w:tcW w:type="dxa" w:w="2351"/>
          </w:tcPr>
          <w:p>
            <w:r>
              <w:rPr>
                <w:sz w:val="20"/>
              </w:rPr>
              <w:t>+10.5%</w:t>
            </w:r>
          </w:p>
        </w:tc>
      </w:tr>
      <w:tr>
        <w:tc>
          <w:tcPr>
            <w:tcW w:type="dxa" w:w="2351"/>
          </w:tcPr>
          <w:p>
            <w:r>
              <w:rPr>
                <w:sz w:val="20"/>
              </w:rPr>
              <w:t>5x5 (fewer jobs)</w:t>
            </w:r>
          </w:p>
        </w:tc>
        <w:tc>
          <w:tcPr>
            <w:tcW w:type="dxa" w:w="2351"/>
          </w:tcPr>
          <w:p>
            <w:r>
              <w:rPr>
                <w:sz w:val="20"/>
              </w:rPr>
              <w:t>122.5</w:t>
            </w:r>
          </w:p>
        </w:tc>
        <w:tc>
          <w:tcPr>
            <w:tcW w:type="dxa" w:w="2351"/>
          </w:tcPr>
          <w:p>
            <w:r>
              <w:rPr>
                <w:sz w:val="20"/>
              </w:rPr>
              <w:t>123.8</w:t>
            </w:r>
          </w:p>
        </w:tc>
        <w:tc>
          <w:tcPr>
            <w:tcW w:type="dxa" w:w="2351"/>
          </w:tcPr>
          <w:p>
            <w:r>
              <w:rPr>
                <w:sz w:val="20"/>
              </w:rPr>
              <w:t>+1.0%</w:t>
            </w:r>
          </w:p>
        </w:tc>
      </w:tr>
      <w:tr>
        <w:tc>
          <w:tcPr>
            <w:tcW w:type="dxa" w:w="2351"/>
          </w:tcPr>
          <w:p>
            <w:r>
              <w:rPr>
                <w:sz w:val="20"/>
              </w:rPr>
              <w:t>8x5 (more jobs)</w:t>
            </w:r>
          </w:p>
        </w:tc>
        <w:tc>
          <w:tcPr>
            <w:tcW w:type="dxa" w:w="2351"/>
          </w:tcPr>
          <w:p>
            <w:r>
              <w:rPr>
                <w:sz w:val="20"/>
              </w:rPr>
              <w:t>164.4</w:t>
            </w:r>
          </w:p>
        </w:tc>
        <w:tc>
          <w:tcPr>
            <w:tcW w:type="dxa" w:w="2351"/>
          </w:tcPr>
          <w:p>
            <w:r>
              <w:rPr>
                <w:sz w:val="20"/>
              </w:rPr>
              <w:t>184.1</w:t>
            </w:r>
          </w:p>
        </w:tc>
        <w:tc>
          <w:tcPr>
            <w:tcW w:type="dxa" w:w="2351"/>
          </w:tcPr>
          <w:p>
            <w:r>
              <w:rPr>
                <w:sz w:val="20"/>
              </w:rPr>
              <w:t>+10.7%</w:t>
            </w:r>
          </w:p>
        </w:tc>
      </w:tr>
      <w:tr>
        <w:tc>
          <w:tcPr>
            <w:tcW w:type="dxa" w:w="2351"/>
          </w:tcPr>
          <w:p>
            <w:r>
              <w:rPr>
                <w:sz w:val="20"/>
              </w:rPr>
              <w:t>6x8 (more machines)</w:t>
            </w:r>
          </w:p>
        </w:tc>
        <w:tc>
          <w:tcPr>
            <w:tcW w:type="dxa" w:w="2351"/>
          </w:tcPr>
          <w:p>
            <w:r>
              <w:rPr>
                <w:sz w:val="20"/>
              </w:rPr>
              <w:t>179.5</w:t>
            </w:r>
          </w:p>
        </w:tc>
        <w:tc>
          <w:tcPr>
            <w:tcW w:type="dxa" w:w="2351"/>
          </w:tcPr>
          <w:p>
            <w:r>
              <w:rPr>
                <w:sz w:val="20"/>
              </w:rPr>
              <w:t>201.4</w:t>
            </w:r>
          </w:p>
        </w:tc>
        <w:tc>
          <w:tcPr>
            <w:tcW w:type="dxa" w:w="2351"/>
          </w:tcPr>
          <w:p>
            <w:r>
              <w:rPr>
                <w:sz w:val="20"/>
              </w:rPr>
              <w:t>+10.9%</w:t>
            </w:r>
          </w:p>
        </w:tc>
      </w:tr>
    </w:tbl>
    <w:p>
      <w:r>
        <w:rPr>
          <w:i/>
          <w:sz w:val="18"/>
        </w:rPr>
        <w:t>Table 2. Zero-shot topology generalization results (20 instances each).</w:t>
      </w:r>
    </w:p>
    <w:p>
      <w:pPr>
        <w:ind w:firstLine="425"/>
      </w:pPr>
      <w:r>
        <w:rPr>
          <w:rFonts w:ascii="Times New Roman" w:hAnsi="Times New Roman"/>
          <w:sz w:val="22"/>
        </w:rPr>
        <w:t>Without any retraining or architecture change, the policy trained on 6x5 instances transfers to unseen shop sizes, consistently outperforming SPT across all configurations. This demonstrates that the GNN learns topology-agnostic dispatching principles rather than overfitting to a specific shop structure.</w:t>
      </w:r>
    </w:p>
    <w:p>
      <w:pPr>
        <w:pStyle w:val="Heading2"/>
      </w:pPr>
      <w:r>
        <w:rPr>
          <w:rFonts w:ascii="Times New Roman" w:hAnsi="Times New Roman"/>
        </w:rPr>
        <w:t>3.4 Dynamic Job Arrivals</w:t>
      </w:r>
    </w:p>
    <w:p>
      <w:pPr>
        <w:jc w:val="center"/>
      </w:pPr>
      <w:r>
        <w:drawing>
          <wp:inline xmlns:a="http://schemas.openxmlformats.org/drawingml/2006/main" xmlns:pic="http://schemas.openxmlformats.org/drawingml/2006/picture">
            <wp:extent cx="4680000" cy="3342857"/>
            <wp:docPr id="3" name="Picture 3"/>
            <wp:cNvGraphicFramePr>
              <a:graphicFrameLocks noChangeAspect="1"/>
            </wp:cNvGraphicFramePr>
            <a:graphic>
              <a:graphicData uri="http://schemas.openxmlformats.org/drawingml/2006/picture">
                <pic:pic>
                  <pic:nvPicPr>
                    <pic:cNvPr id="0" name="fig3_dynamic.png"/>
                    <pic:cNvPicPr/>
                  </pic:nvPicPr>
                  <pic:blipFill>
                    <a:blip r:embed="rId11"/>
                    <a:stretch>
                      <a:fillRect/>
                    </a:stretch>
                  </pic:blipFill>
                  <pic:spPr>
                    <a:xfrm>
                      <a:off x="0" y="0"/>
                      <a:ext cx="4680000" cy="3342857"/>
                    </a:xfrm>
                    <a:prstGeom prst="rect"/>
                  </pic:spPr>
                </pic:pic>
              </a:graphicData>
            </a:graphic>
          </wp:inline>
        </w:drawing>
      </w:r>
    </w:p>
    <w:p>
      <w:pPr>
        <w:jc w:val="center"/>
      </w:pPr>
      <w:r>
        <w:rPr>
          <w:i/>
          <w:sz w:val="18"/>
        </w:rPr>
        <w:t>Figure 3. Dynamic job arrival scenario (50 instances).</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Method</w:t>
            </w:r>
          </w:p>
        </w:tc>
        <w:tc>
          <w:tcPr>
            <w:tcW w:type="dxa" w:w="2351"/>
          </w:tcPr>
          <w:p>
            <w:r>
              <w:rPr>
                <w:b/>
                <w:sz w:val="20"/>
              </w:rPr>
              <w:t>Makespan (mean ± std)</w:t>
            </w:r>
          </w:p>
        </w:tc>
        <w:tc>
          <w:tcPr>
            <w:tcW w:type="dxa" w:w="2351"/>
          </w:tcPr>
          <w:p>
            <w:r>
              <w:rPr>
                <w:b/>
                <w:sz w:val="20"/>
              </w:rPr>
              <w:t>Wins</w:t>
            </w:r>
          </w:p>
        </w:tc>
        <w:tc>
          <w:tcPr>
            <w:tcW w:type="dxa" w:w="2351"/>
          </w:tcPr>
          <w:p>
            <w:r>
              <w:rPr>
                <w:b/>
                <w:sz w:val="20"/>
              </w:rPr>
              <w:t>p-value</w:t>
            </w:r>
          </w:p>
        </w:tc>
      </w:tr>
      <w:tr>
        <w:tc>
          <w:tcPr>
            <w:tcW w:type="dxa" w:w="2351"/>
          </w:tcPr>
          <w:p>
            <w:r>
              <w:rPr>
                <w:sz w:val="20"/>
              </w:rPr>
              <w:t>GNN-L2D (static-trained)</w:t>
            </w:r>
          </w:p>
        </w:tc>
        <w:tc>
          <w:tcPr>
            <w:tcW w:type="dxa" w:w="2351"/>
          </w:tcPr>
          <w:p>
            <w:r>
              <w:rPr>
                <w:sz w:val="20"/>
              </w:rPr>
              <w:t>175.3 ± 46.3</w:t>
            </w:r>
          </w:p>
        </w:tc>
        <w:tc>
          <w:tcPr>
            <w:tcW w:type="dxa" w:w="2351"/>
          </w:tcPr>
          <w:p>
            <w:r>
              <w:rPr>
                <w:sz w:val="20"/>
              </w:rPr>
              <w:t>-</w:t>
            </w:r>
          </w:p>
        </w:tc>
        <w:tc>
          <w:tcPr>
            <w:tcW w:type="dxa" w:w="2351"/>
          </w:tcPr>
          <w:p>
            <w:r>
              <w:rPr>
                <w:sz w:val="20"/>
              </w:rPr>
              <w:t>-</w:t>
            </w:r>
          </w:p>
        </w:tc>
      </w:tr>
      <w:tr>
        <w:tc>
          <w:tcPr>
            <w:tcW w:type="dxa" w:w="2351"/>
          </w:tcPr>
          <w:p>
            <w:r>
              <w:rPr>
                <w:sz w:val="20"/>
              </w:rPr>
              <w:t>FIFO</w:t>
            </w:r>
          </w:p>
        </w:tc>
        <w:tc>
          <w:tcPr>
            <w:tcW w:type="dxa" w:w="2351"/>
          </w:tcPr>
          <w:p>
            <w:r>
              <w:rPr>
                <w:sz w:val="20"/>
              </w:rPr>
              <w:t>185.5 ± 44.7</w:t>
            </w:r>
          </w:p>
        </w:tc>
        <w:tc>
          <w:tcPr>
            <w:tcW w:type="dxa" w:w="2351"/>
          </w:tcPr>
          <w:p>
            <w:r>
              <w:rPr>
                <w:sz w:val="20"/>
              </w:rPr>
              <w:t>-</w:t>
            </w:r>
          </w:p>
        </w:tc>
        <w:tc>
          <w:tcPr>
            <w:tcW w:type="dxa" w:w="2351"/>
          </w:tcPr>
          <w:p>
            <w:r>
              <w:rPr>
                <w:sz w:val="20"/>
              </w:rPr>
              <w:t>0.22</w:t>
            </w:r>
          </w:p>
        </w:tc>
      </w:tr>
      <w:tr>
        <w:tc>
          <w:tcPr>
            <w:tcW w:type="dxa" w:w="2351"/>
          </w:tcPr>
          <w:p>
            <w:r>
              <w:rPr>
                <w:sz w:val="20"/>
              </w:rPr>
              <w:t>SPT</w:t>
            </w:r>
          </w:p>
        </w:tc>
        <w:tc>
          <w:tcPr>
            <w:tcW w:type="dxa" w:w="2351"/>
          </w:tcPr>
          <w:p>
            <w:r>
              <w:rPr>
                <w:sz w:val="20"/>
              </w:rPr>
              <w:t>192.0 ± 36.7</w:t>
            </w:r>
          </w:p>
        </w:tc>
        <w:tc>
          <w:tcPr>
            <w:tcW w:type="dxa" w:w="2351"/>
          </w:tcPr>
          <w:p>
            <w:r>
              <w:rPr>
                <w:sz w:val="20"/>
              </w:rPr>
              <w:t>-</w:t>
            </w:r>
          </w:p>
        </w:tc>
        <w:tc>
          <w:tcPr>
            <w:tcW w:type="dxa" w:w="2351"/>
          </w:tcPr>
          <w:p>
            <w:r>
              <w:rPr>
                <w:sz w:val="20"/>
              </w:rPr>
              <w:t>0.021</w:t>
            </w:r>
          </w:p>
        </w:tc>
      </w:tr>
    </w:tbl>
    <w:p>
      <w:r>
        <w:rPr>
          <w:i/>
          <w:sz w:val="18"/>
        </w:rPr>
        <w:t>Table 3. Dynamic job arrival results with stochastic arrival times.</w:t>
      </w:r>
    </w:p>
    <w:p>
      <w:pPr>
        <w:ind w:firstLine="425"/>
      </w:pPr>
      <w:r>
        <w:rPr>
          <w:rFonts w:ascii="Times New Roman" w:hAnsi="Times New Roman"/>
          <w:sz w:val="22"/>
        </w:rPr>
        <w:t>The policy trained purely on static instances outperforms both SPT (p=0.021, 32/50 wins) and FIFO in dynamic arrival scenarios, demonstrating that learned dispatch policies capture state-dependent priorities that transfer across scheduling contexts. This is particularly relevant for real-world manufacturing where job arrivals are inherently stochastic.</w:t>
      </w:r>
    </w:p>
    <w:p>
      <w:pPr>
        <w:pStyle w:val="Heading2"/>
      </w:pPr>
      <w:r>
        <w:rPr>
          <w:rFonts w:ascii="Times New Roman" w:hAnsi="Times New Roman"/>
        </w:rPr>
        <w:t>3.5 Example Schedule</w:t>
      </w:r>
    </w:p>
    <w:p>
      <w:pPr>
        <w:jc w:val="center"/>
      </w:pPr>
      <w:r>
        <w:drawing>
          <wp:inline xmlns:a="http://schemas.openxmlformats.org/drawingml/2006/main" xmlns:pic="http://schemas.openxmlformats.org/drawingml/2006/picture">
            <wp:extent cx="4680000" cy="2340000"/>
            <wp:docPr id="4" name="Picture 4"/>
            <wp:cNvGraphicFramePr>
              <a:graphicFrameLocks noChangeAspect="1"/>
            </wp:cNvGraphicFramePr>
            <a:graphic>
              <a:graphicData uri="http://schemas.openxmlformats.org/drawingml/2006/picture">
                <pic:pic>
                  <pic:nvPicPr>
                    <pic:cNvPr id="0" name="fig4_gantt.png"/>
                    <pic:cNvPicPr/>
                  </pic:nvPicPr>
                  <pic:blipFill>
                    <a:blip r:embed="rId12"/>
                    <a:stretch>
                      <a:fillRect/>
                    </a:stretch>
                  </pic:blipFill>
                  <pic:spPr>
                    <a:xfrm>
                      <a:off x="0" y="0"/>
                      <a:ext cx="4680000" cy="2340000"/>
                    </a:xfrm>
                    <a:prstGeom prst="rect"/>
                  </pic:spPr>
                </pic:pic>
              </a:graphicData>
            </a:graphic>
          </wp:inline>
        </w:drawing>
      </w:r>
    </w:p>
    <w:p>
      <w:pPr>
        <w:jc w:val="center"/>
      </w:pPr>
      <w:r>
        <w:rPr>
          <w:i/>
          <w:sz w:val="18"/>
        </w:rPr>
        <w:t>Figure 4. Example Gantt chart of an SPT schedule on a 6x5 instance.</w:t>
      </w:r>
    </w:p>
    <w:p>
      <w:pPr>
        <w:pStyle w:val="Heading1"/>
      </w:pPr>
      <w:r>
        <w:rPr>
          <w:rFonts w:ascii="Times New Roman" w:hAnsi="Times New Roman"/>
        </w:rPr>
        <w:t>4. Discussion</w:t>
      </w:r>
    </w:p>
    <w:p>
      <w:pPr>
        <w:ind w:firstLine="425"/>
      </w:pPr>
      <w:r>
        <w:rPr>
          <w:rFonts w:ascii="Times New Roman" w:hAnsi="Times New Roman"/>
          <w:sz w:val="22"/>
        </w:rPr>
        <w:t>The results demonstrate that CP-SAT-supervised GNN policies provide a practical middle ground between computationally expensive exact solvers and fixed dispatching rules. Key findings: (1) the learned policy consistently beats the best single rule (SPT) with strong statistical significance; (2) zero-shot topology generalization is achievable through padding and masking, addressing a key limitation of prior L2D methods; (3) static-trained policies transfer effectively to dynamic scenarios, suggesting robustness to distribution shift.</w:t>
      </w:r>
    </w:p>
    <w:p>
      <w:pPr>
        <w:ind w:firstLine="425"/>
      </w:pPr>
      <w:r>
        <w:rPr>
          <w:rFonts w:ascii="Times New Roman" w:hAnsi="Times New Roman"/>
          <w:sz w:val="22"/>
        </w:rPr>
        <w:t>The 17.9% gap to CP-SAT optimal reflects the inherent complexity of JSS and the information loss in the compact state representation. Future work will explore richer graph structures (including machine nodes and disjunctive edges), PPO-based online adaptation, and flexible job shop variants with alternative machine routing.</w:t>
      </w:r>
    </w:p>
    <w:p>
      <w:pPr>
        <w:pStyle w:val="Heading1"/>
      </w:pPr>
      <w:r>
        <w:rPr>
          <w:rFonts w:ascii="Times New Roman" w:hAnsi="Times New Roman"/>
        </w:rPr>
        <w:t>5. Conclusion</w:t>
      </w:r>
    </w:p>
    <w:p>
      <w:pPr>
        <w:ind w:firstLine="425"/>
      </w:pPr>
      <w:r>
        <w:rPr>
          <w:rFonts w:ascii="Times New Roman" w:hAnsi="Times New Roman"/>
          <w:sz w:val="22"/>
        </w:rPr>
        <w:t>We present a GNN-based learning-to-dispatch framework for job shop scheduling with zero-shot topology generalization. The policy consistently improves over SPT across static, transferred, and dynamic scenarios, with statistical significance. The approach is reproducible, deployable in milliseconds, and requires no hand-crafted features, positioning it as a practical alternative for real-time manufacturing scheduling.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