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27D9B">
      <w:pPr>
        <w:pStyle w:val="2"/>
        <w:spacing w:before="0" w:after="0" w:line="400" w:lineRule="exact"/>
        <w:rPr>
          <w:rFonts w:ascii="Times New Roman" w:hAnsi="Times New Roman" w:cs="Times New Roman"/>
          <w:sz w:val="21"/>
          <w:szCs w:val="21"/>
        </w:rPr>
      </w:pPr>
      <w:r>
        <w:rPr>
          <w:rFonts w:hint="eastAsia" w:ascii="Times New Roman" w:hAnsi="Times New Roman" w:cs="Times New Roman"/>
          <w:sz w:val="21"/>
          <w:szCs w:val="21"/>
        </w:rPr>
        <w:t>Appendix</w:t>
      </w:r>
    </w:p>
    <w:p w14:paraId="41699593">
      <w:pPr>
        <w:jc w:val="left"/>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sz w:val="18"/>
          <w:szCs w:val="18"/>
        </w:rPr>
        <w:t>Appendix A</w:t>
      </w:r>
      <w:r>
        <w:rPr>
          <w:rFonts w:hint="eastAsia" w:ascii="Times New Roman" w:hAnsi="Times New Roman" w:cs="Times New Roman"/>
          <w:sz w:val="18"/>
          <w:szCs w:val="18"/>
        </w:rPr>
        <w:t xml:space="preserve">. </w:t>
      </w:r>
      <w:r>
        <w:rPr>
          <w:rFonts w:hint="eastAsia" w:ascii="Times New Roman" w:hAnsi="Times New Roman" w:cs="Times New Roman"/>
          <w:color w:val="000000" w:themeColor="text1"/>
          <w:sz w:val="18"/>
          <w:szCs w:val="18"/>
          <w14:textFill>
            <w14:solidFill>
              <w14:schemeClr w14:val="tx1"/>
            </w14:solidFill>
          </w14:textFill>
        </w:rPr>
        <w:t>The specific contents of each fine-tuning scheme.</w:t>
      </w:r>
    </w:p>
    <w:tbl>
      <w:tblPr>
        <w:tblStyle w:val="3"/>
        <w:tblW w:w="14076" w:type="dxa"/>
        <w:tblInd w:w="9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5"/>
        <w:gridCol w:w="2183"/>
        <w:gridCol w:w="11058"/>
      </w:tblGrid>
      <w:tr w14:paraId="316007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35" w:type="dxa"/>
            <w:tcBorders>
              <w:bottom w:val="single" w:color="auto" w:sz="6" w:space="0"/>
            </w:tcBorders>
            <w:shd w:val="clear" w:color="auto" w:fill="auto"/>
            <w:noWrap/>
            <w:vAlign w:val="center"/>
          </w:tcPr>
          <w:p w14:paraId="0A9C0252">
            <w:pPr>
              <w:widowControl/>
              <w:textAlignment w:val="bottom"/>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Num</w:t>
            </w:r>
            <w:r>
              <w:rPr>
                <w:rFonts w:hint="eastAsia" w:ascii="Times New Roman" w:hAnsi="Times New Roman" w:eastAsia="宋体" w:cs="Times New Roman"/>
                <w:color w:val="000000"/>
                <w:kern w:val="0"/>
                <w:sz w:val="18"/>
                <w:szCs w:val="18"/>
                <w:lang w:bidi="ar"/>
              </w:rPr>
              <w:t>b</w:t>
            </w:r>
            <w:r>
              <w:rPr>
                <w:rFonts w:ascii="Times New Roman" w:hAnsi="Times New Roman" w:eastAsia="宋体" w:cs="Times New Roman"/>
                <w:color w:val="000000"/>
                <w:kern w:val="0"/>
                <w:sz w:val="18"/>
                <w:szCs w:val="18"/>
                <w:lang w:bidi="ar"/>
              </w:rPr>
              <w:t>er</w:t>
            </w:r>
          </w:p>
        </w:tc>
        <w:tc>
          <w:tcPr>
            <w:tcW w:w="2183" w:type="dxa"/>
            <w:tcBorders>
              <w:bottom w:val="single" w:color="auto" w:sz="6" w:space="0"/>
            </w:tcBorders>
            <w:shd w:val="clear" w:color="auto" w:fill="auto"/>
            <w:noWrap/>
            <w:vAlign w:val="center"/>
          </w:tcPr>
          <w:p w14:paraId="1E11B611">
            <w:pPr>
              <w:widowControl/>
              <w:textAlignment w:val="bottom"/>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Fine-tuning scheme</w:t>
            </w:r>
          </w:p>
        </w:tc>
        <w:tc>
          <w:tcPr>
            <w:tcW w:w="11058" w:type="dxa"/>
            <w:tcBorders>
              <w:bottom w:val="single" w:color="auto" w:sz="6" w:space="0"/>
            </w:tcBorders>
            <w:shd w:val="clear" w:color="auto" w:fill="auto"/>
            <w:noWrap/>
            <w:vAlign w:val="center"/>
          </w:tcPr>
          <w:p w14:paraId="28827F72">
            <w:pPr>
              <w:widowControl/>
              <w:textAlignment w:val="bottom"/>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Specific content</w:t>
            </w:r>
          </w:p>
        </w:tc>
      </w:tr>
      <w:tr w14:paraId="1DF76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35" w:type="dxa"/>
            <w:tcBorders>
              <w:top w:val="single" w:color="auto" w:sz="6" w:space="0"/>
              <w:tl2br w:val="nil"/>
              <w:tr2bl w:val="nil"/>
            </w:tcBorders>
            <w:shd w:val="clear" w:color="auto" w:fill="auto"/>
            <w:noWrap/>
            <w:vAlign w:val="center"/>
          </w:tcPr>
          <w:p w14:paraId="4BF9ECAF">
            <w:pPr>
              <w:widowControl/>
              <w:textAlignment w:val="bottom"/>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1</w:t>
            </w:r>
          </w:p>
        </w:tc>
        <w:tc>
          <w:tcPr>
            <w:tcW w:w="2183" w:type="dxa"/>
            <w:tcBorders>
              <w:top w:val="single" w:color="auto" w:sz="6" w:space="0"/>
              <w:tl2br w:val="nil"/>
              <w:tr2bl w:val="nil"/>
            </w:tcBorders>
            <w:shd w:val="clear" w:color="auto" w:fill="auto"/>
            <w:noWrap/>
            <w:vAlign w:val="center"/>
          </w:tcPr>
          <w:p w14:paraId="4DF9D34F">
            <w:pPr>
              <w:rPr>
                <w:rFonts w:ascii="Times New Roman" w:hAnsi="Times New Roman" w:eastAsia="宋体" w:cs="Times New Roman"/>
                <w:color w:val="000000"/>
                <w:sz w:val="18"/>
                <w:szCs w:val="18"/>
              </w:rPr>
            </w:pPr>
            <w:r>
              <w:rPr>
                <w:rFonts w:hint="eastAsia" w:ascii="Times New Roman" w:hAnsi="Times New Roman" w:cs="Times New Roman"/>
                <w:sz w:val="18"/>
                <w:szCs w:val="21"/>
              </w:rPr>
              <w:t>Base prompt text</w:t>
            </w:r>
          </w:p>
        </w:tc>
        <w:tc>
          <w:tcPr>
            <w:tcW w:w="11058" w:type="dxa"/>
            <w:tcBorders>
              <w:top w:val="single" w:color="auto" w:sz="6" w:space="0"/>
              <w:tl2br w:val="nil"/>
              <w:tr2bl w:val="nil"/>
            </w:tcBorders>
            <w:shd w:val="clear" w:color="auto" w:fill="auto"/>
            <w:noWrap/>
            <w:vAlign w:val="center"/>
          </w:tcPr>
          <w:p w14:paraId="042C6075">
            <w:pPr>
              <w:widowControl/>
              <w:spacing w:line="300" w:lineRule="exac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base_prompt_text = """</w:t>
            </w:r>
          </w:p>
          <w:p w14:paraId="357D2B6A">
            <w:pPr>
              <w:widowControl/>
              <w:spacing w:line="300" w:lineRule="exac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Types of values: </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sz w:val="18"/>
                <w:szCs w:val="18"/>
              </w:rPr>
              <w:t xml:space="preserve">, </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 xml:space="preserve">hange,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r>
              <w:rPr>
                <w:rFonts w:ascii="Times New Roman" w:hAnsi="Times New Roman" w:eastAsia="宋体" w:cs="Times New Roman"/>
                <w:color w:val="000000"/>
                <w:sz w:val="18"/>
                <w:szCs w:val="18"/>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p>
        </w:tc>
      </w:tr>
      <w:tr w14:paraId="449F07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35" w:type="dxa"/>
            <w:tcBorders>
              <w:tl2br w:val="nil"/>
              <w:tr2bl w:val="nil"/>
            </w:tcBorders>
            <w:shd w:val="clear" w:color="auto" w:fill="auto"/>
            <w:noWrap/>
            <w:vAlign w:val="center"/>
          </w:tcPr>
          <w:p w14:paraId="36A6096D">
            <w:pPr>
              <w:widowControl/>
              <w:textAlignment w:val="bottom"/>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2</w:t>
            </w:r>
          </w:p>
        </w:tc>
        <w:tc>
          <w:tcPr>
            <w:tcW w:w="2183" w:type="dxa"/>
            <w:tcBorders>
              <w:tl2br w:val="nil"/>
              <w:tr2bl w:val="nil"/>
            </w:tcBorders>
            <w:shd w:val="clear" w:color="auto" w:fill="auto"/>
            <w:noWrap/>
            <w:vAlign w:val="center"/>
          </w:tcPr>
          <w:p w14:paraId="1AC46946">
            <w:pPr>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Instruction text</w:t>
            </w:r>
          </w:p>
        </w:tc>
        <w:tc>
          <w:tcPr>
            <w:tcW w:w="11058" w:type="dxa"/>
            <w:tcBorders>
              <w:tl2br w:val="nil"/>
              <w:tr2bl w:val="nil"/>
            </w:tcBorders>
            <w:shd w:val="clear" w:color="auto" w:fill="auto"/>
            <w:noWrap/>
            <w:vAlign w:val="center"/>
          </w:tcPr>
          <w:p w14:paraId="7C0771A0">
            <w:pPr>
              <w:widowControl/>
              <w:spacing w:line="300" w:lineRule="exact"/>
              <w:textAlignment w:val="bottom"/>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 xml:space="preserve">instruction = "According to the given comment content, analyze the four types and degrees of human values it reflects, and output a type of values with the highest degree. The types of human values include four categories: </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sz w:val="18"/>
                <w:szCs w:val="18"/>
              </w:rPr>
              <w:t xml:space="preserve">, </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 xml:space="preserve">hange,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r>
              <w:rPr>
                <w:rFonts w:ascii="Times New Roman" w:hAnsi="Times New Roman" w:eastAsia="宋体" w:cs="Times New Roman"/>
                <w:color w:val="000000"/>
                <w:sz w:val="18"/>
                <w:szCs w:val="18"/>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r>
              <w:rPr>
                <w:rFonts w:ascii="Times New Roman" w:hAnsi="Times New Roman" w:eastAsia="宋体" w:cs="Times New Roman"/>
                <w:color w:val="000000"/>
                <w:kern w:val="0"/>
                <w:sz w:val="18"/>
                <w:szCs w:val="18"/>
                <w:lang w:bidi="ar"/>
              </w:rPr>
              <w:t>. The degree includes three types: high, medium, and low. "</w:t>
            </w:r>
          </w:p>
        </w:tc>
      </w:tr>
      <w:tr w14:paraId="3D6DDE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35" w:type="dxa"/>
            <w:tcBorders>
              <w:tl2br w:val="nil"/>
              <w:tr2bl w:val="nil"/>
            </w:tcBorders>
            <w:shd w:val="clear" w:color="auto" w:fill="auto"/>
            <w:noWrap/>
            <w:vAlign w:val="center"/>
          </w:tcPr>
          <w:p w14:paraId="23E05394">
            <w:pPr>
              <w:widowControl/>
              <w:textAlignment w:val="bottom"/>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3</w:t>
            </w:r>
          </w:p>
        </w:tc>
        <w:tc>
          <w:tcPr>
            <w:tcW w:w="2183" w:type="dxa"/>
            <w:tcBorders>
              <w:tl2br w:val="nil"/>
              <w:tr2bl w:val="nil"/>
            </w:tcBorders>
            <w:shd w:val="clear" w:color="auto" w:fill="auto"/>
            <w:noWrap/>
            <w:vAlign w:val="center"/>
          </w:tcPr>
          <w:p w14:paraId="6FF31427">
            <w:pPr>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C</w:t>
            </w:r>
            <w:r>
              <w:rPr>
                <w:rFonts w:ascii="Times New Roman" w:hAnsi="Times New Roman" w:eastAsia="宋体" w:cs="Times New Roman"/>
                <w:color w:val="000000"/>
                <w:kern w:val="0"/>
                <w:sz w:val="18"/>
                <w:szCs w:val="18"/>
                <w:lang w:bidi="ar"/>
              </w:rPr>
              <w:t>onceptual connotation of</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human values</w:t>
            </w:r>
            <w:r>
              <w:rPr>
                <w:rFonts w:hint="eastAsia" w:ascii="Times New Roman" w:hAnsi="Times New Roman" w:eastAsia="宋体" w:cs="Times New Roman"/>
                <w:color w:val="000000"/>
                <w:kern w:val="0"/>
                <w:sz w:val="18"/>
                <w:szCs w:val="18"/>
                <w:lang w:bidi="ar"/>
              </w:rPr>
              <w:t xml:space="preserve"> </w:t>
            </w:r>
          </w:p>
        </w:tc>
        <w:tc>
          <w:tcPr>
            <w:tcW w:w="11058" w:type="dxa"/>
            <w:tcBorders>
              <w:tl2br w:val="nil"/>
              <w:tr2bl w:val="nil"/>
            </w:tcBorders>
            <w:shd w:val="clear" w:color="auto" w:fill="auto"/>
            <w:noWrap/>
            <w:vAlign w:val="center"/>
          </w:tcPr>
          <w:p w14:paraId="5B590FA2">
            <w:pPr>
              <w:widowControl/>
              <w:spacing w:line="300" w:lineRule="exact"/>
              <w:textAlignment w:val="bottom"/>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Values definition:</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hange</w:t>
            </w:r>
            <w:r>
              <w:rPr>
                <w:rFonts w:ascii="Times New Roman" w:hAnsi="Times New Roman" w:eastAsia="宋体" w:cs="Times New Roman"/>
                <w:color w:val="000000"/>
                <w:kern w:val="0"/>
                <w:sz w:val="18"/>
                <w:szCs w:val="18"/>
                <w:lang w:bidi="ar"/>
              </w:rPr>
              <w:t>: individuals tend to be more open to accept and try new health information, such as new nutrition guidelines, alternative therapies or the latest scientific findings; they are more willing to share and discuss this information and try new suggestions or products. People with such values are more likely to accept new health information that is contrary to traditional concepts, such as non-traditional medicine or emerging health trends.</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hange</w:t>
            </w:r>
            <w:r>
              <w:rPr>
                <w:rFonts w:hint="eastAsia" w:ascii="Times New Roman" w:hAnsi="Times New Roman" w:eastAsia="宋体" w:cs="Times New Roman"/>
                <w:color w:val="000000"/>
                <w:sz w:val="18"/>
                <w:szCs w:val="18"/>
              </w:rPr>
              <w:t>-low</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The comments will express that they have changed their ideas by receiving this health information, which is manifested in asking or changing attitudes, but there is no actual action.</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hange</w:t>
            </w:r>
            <w:r>
              <w:rPr>
                <w:rFonts w:hint="eastAsia" w:ascii="Times New Roman" w:hAnsi="Times New Roman" w:eastAsia="宋体" w:cs="Times New Roman"/>
                <w:color w:val="000000"/>
                <w:sz w:val="18"/>
                <w:szCs w:val="18"/>
              </w:rPr>
              <w:t>-</w:t>
            </w:r>
            <w:r>
              <w:rPr>
                <w:rFonts w:ascii="Times New Roman" w:hAnsi="Times New Roman" w:eastAsia="宋体" w:cs="Times New Roman"/>
                <w:color w:val="000000"/>
                <w:kern w:val="0"/>
                <w:sz w:val="18"/>
                <w:szCs w:val="18"/>
                <w:lang w:bidi="ar"/>
              </w:rPr>
              <w:t>medium:</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Comments will express some subtle changes in their own, such as changes in living habits, or changes in behavior.</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hange</w:t>
            </w:r>
            <w:r>
              <w:rPr>
                <w:rFonts w:hint="eastAsia" w:ascii="Times New Roman" w:hAnsi="Times New Roman" w:eastAsia="宋体" w:cs="Times New Roman"/>
                <w:color w:val="000000"/>
                <w:sz w:val="18"/>
                <w:szCs w:val="18"/>
              </w:rPr>
              <w:t>-</w:t>
            </w:r>
            <w:r>
              <w:rPr>
                <w:rFonts w:ascii="Times New Roman" w:hAnsi="Times New Roman" w:eastAsia="宋体" w:cs="Times New Roman"/>
                <w:color w:val="000000"/>
                <w:kern w:val="0"/>
                <w:sz w:val="18"/>
                <w:szCs w:val="18"/>
                <w:lang w:bidi="ar"/>
              </w:rPr>
              <w:t>high:</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Comments will express themselves to make some actual behavior to change, such as going to the hospital or changing behavior immediately.</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kern w:val="0"/>
                <w:sz w:val="18"/>
                <w:szCs w:val="18"/>
                <w:lang w:bidi="ar"/>
              </w:rPr>
              <w:t>: Individuals with such values may be conservative about new health information, and they tend to rely on traditional health advice and conventional treatments. They may need more evidence and reassurance to trust and adopt new health information, and are skeptical about overturning or modifying long-standing health habits.</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low</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Comments will express the user does not want to change the attitude, but relatively mild.</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medium</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Comments will express fear, worry, or just ask, and do not make any practical action.</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high</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Comments will express their disgust, doubt, spit and other attitudes.</w:t>
            </w:r>
          </w:p>
          <w:p w14:paraId="02B9903F">
            <w:pPr>
              <w:widowControl/>
              <w:spacing w:line="300" w:lineRule="exact"/>
              <w:textAlignment w:val="bottom"/>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r>
              <w:rPr>
                <w:rFonts w:ascii="Times New Roman" w:hAnsi="Times New Roman" w:eastAsia="宋体" w:cs="Times New Roman"/>
                <w:color w:val="000000"/>
                <w:kern w:val="0"/>
                <w:sz w:val="18"/>
                <w:szCs w:val="18"/>
                <w:lang w:bidi="ar"/>
              </w:rPr>
              <w:t>: It emphasizes caring for community and global well-being and advocates social equality, social justice and environmental protection. Individuals with such values may be more concerned about how health information can help them take care of the welfare of others and communities, and they may tend to support and promote behaviors and policies that are beneficial to public health, such as vaccination, public health education, and environmental health behaviors.</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low</w:t>
            </w:r>
            <w:r>
              <w:rPr>
                <w:rFonts w:ascii="Times New Roman" w:hAnsi="Times New Roman" w:eastAsia="宋体" w:cs="Times New Roman"/>
                <w:color w:val="000000"/>
                <w:kern w:val="0"/>
                <w:sz w:val="18"/>
                <w:szCs w:val="18"/>
                <w:lang w:bidi="ar"/>
              </w:rPr>
              <w:t>: Comments will express concern for other people or groups other than themselves, but the tone is weaker.</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medium</w:t>
            </w:r>
            <w:r>
              <w:rPr>
                <w:rFonts w:ascii="Times New Roman" w:hAnsi="Times New Roman" w:eastAsia="宋体" w:cs="Times New Roman"/>
                <w:color w:val="000000"/>
                <w:kern w:val="0"/>
                <w:sz w:val="18"/>
                <w:szCs w:val="18"/>
                <w:lang w:bidi="ar"/>
              </w:rPr>
              <w:t>: Comments will express concern for other people or groups other than yourself, but the tone and emotion are stronger.</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high</w:t>
            </w:r>
            <w:r>
              <w:rPr>
                <w:rFonts w:ascii="Times New Roman" w:hAnsi="Times New Roman" w:eastAsia="宋体" w:cs="Times New Roman"/>
                <w:color w:val="000000"/>
                <w:kern w:val="0"/>
                <w:sz w:val="18"/>
                <w:szCs w:val="18"/>
                <w:lang w:bidi="ar"/>
              </w:rPr>
              <w:t>: Comments will express concern for others or groups other than themselves, but the tone and emotion are particularly strong.</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r>
              <w:rPr>
                <w:rFonts w:ascii="Times New Roman" w:hAnsi="Times New Roman" w:eastAsia="宋体" w:cs="Times New Roman"/>
                <w:color w:val="000000"/>
                <w:kern w:val="0"/>
                <w:sz w:val="18"/>
                <w:szCs w:val="18"/>
                <w:lang w:bidi="ar"/>
              </w:rPr>
              <w:t>: These individuals may pay more attention to how health information helps them achieve personal goals, such as improving physical appearance, improving personal performance or enhancing social status. They may evaluate the direct interests of individuals based on this information and choose health behaviors that maximize their own interests.</w:t>
            </w:r>
          </w:p>
          <w:p w14:paraId="23DF84EC">
            <w:pPr>
              <w:widowControl/>
              <w:spacing w:line="300" w:lineRule="exact"/>
              <w:textAlignment w:val="bottom"/>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low</w:t>
            </w:r>
            <w:r>
              <w:rPr>
                <w:rFonts w:ascii="Times New Roman" w:hAnsi="Times New Roman" w:eastAsia="宋体" w:cs="Times New Roman"/>
                <w:color w:val="000000"/>
                <w:kern w:val="0"/>
                <w:sz w:val="18"/>
                <w:szCs w:val="18"/>
                <w:lang w:bidi="ar"/>
              </w:rPr>
              <w:t>: Comments will express their own want to improve their medical knowledge through some behavior or problems.</w:t>
            </w:r>
          </w:p>
          <w:p w14:paraId="50FB28E1">
            <w:pPr>
              <w:widowControl/>
              <w:spacing w:line="300" w:lineRule="exact"/>
              <w:textAlignment w:val="bottom"/>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medium</w:t>
            </w:r>
            <w:r>
              <w:rPr>
                <w:rFonts w:ascii="Times New Roman" w:hAnsi="Times New Roman" w:eastAsia="宋体" w:cs="Times New Roman"/>
                <w:color w:val="000000"/>
                <w:kern w:val="0"/>
                <w:sz w:val="18"/>
                <w:szCs w:val="18"/>
                <w:lang w:bidi="ar"/>
              </w:rPr>
              <w:t>: Comments will express themselves through some behavior and receive this health information has been the promotion of medical common sense.</w:t>
            </w:r>
          </w:p>
          <w:p w14:paraId="4E5C13BB">
            <w:pPr>
              <w:widowControl/>
              <w:spacing w:line="300" w:lineRule="exact"/>
              <w:textAlignment w:val="bottom"/>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high</w:t>
            </w:r>
            <w:r>
              <w:rPr>
                <w:rFonts w:ascii="Times New Roman" w:hAnsi="Times New Roman" w:eastAsia="宋体" w:cs="Times New Roman"/>
                <w:color w:val="000000"/>
                <w:kern w:val="0"/>
                <w:sz w:val="18"/>
                <w:szCs w:val="18"/>
                <w:lang w:bidi="ar"/>
              </w:rPr>
              <w:t>: The comments will express that they have improved medical common sense through some behaviors and receiving this health information, or think that science popularization is very useful and the tone and emotion are particularly strong.</w:t>
            </w:r>
          </w:p>
        </w:tc>
      </w:tr>
      <w:tr w14:paraId="5DF0CE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35" w:type="dxa"/>
            <w:tcBorders>
              <w:tl2br w:val="nil"/>
              <w:tr2bl w:val="nil"/>
            </w:tcBorders>
            <w:shd w:val="clear" w:color="auto" w:fill="auto"/>
            <w:noWrap/>
            <w:vAlign w:val="center"/>
          </w:tcPr>
          <w:p w14:paraId="3AFEA29B">
            <w:pPr>
              <w:widowControl/>
              <w:textAlignment w:val="bottom"/>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4</w:t>
            </w:r>
          </w:p>
        </w:tc>
        <w:tc>
          <w:tcPr>
            <w:tcW w:w="2183" w:type="dxa"/>
            <w:tcBorders>
              <w:tl2br w:val="nil"/>
              <w:tr2bl w:val="nil"/>
            </w:tcBorders>
            <w:shd w:val="clear" w:color="auto" w:fill="auto"/>
            <w:noWrap/>
            <w:vAlign w:val="center"/>
          </w:tcPr>
          <w:p w14:paraId="55B0EBAD">
            <w:pP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C</w:t>
            </w:r>
            <w:r>
              <w:rPr>
                <w:rFonts w:ascii="Times New Roman" w:hAnsi="Times New Roman" w:eastAsia="宋体" w:cs="Times New Roman"/>
                <w:color w:val="000000"/>
                <w:kern w:val="0"/>
                <w:sz w:val="18"/>
                <w:szCs w:val="18"/>
                <w:lang w:bidi="ar"/>
              </w:rPr>
              <w:t>onceptual connotation of</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human values</w:t>
            </w:r>
            <w:r>
              <w:rPr>
                <w:rFonts w:hint="eastAsia" w:ascii="Times New Roman" w:hAnsi="Times New Roman" w:eastAsia="宋体" w:cs="Times New Roman"/>
                <w:color w:val="000000"/>
                <w:kern w:val="0"/>
                <w:sz w:val="18"/>
                <w:szCs w:val="18"/>
                <w:lang w:bidi="ar"/>
              </w:rPr>
              <w:t xml:space="preserve"> </w:t>
            </w:r>
          </w:p>
          <w:p w14:paraId="7F4E1DBE">
            <w:pPr>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and a set of four value examples</w:t>
            </w:r>
          </w:p>
        </w:tc>
        <w:tc>
          <w:tcPr>
            <w:tcW w:w="11058" w:type="dxa"/>
            <w:tcBorders>
              <w:tl2br w:val="nil"/>
              <w:tr2bl w:val="nil"/>
            </w:tcBorders>
            <w:shd w:val="clear" w:color="auto" w:fill="auto"/>
            <w:noWrap/>
            <w:vAlign w:val="center"/>
          </w:tcPr>
          <w:p w14:paraId="72D7F051">
            <w:pPr>
              <w:widowControl/>
              <w:spacing w:line="300" w:lineRule="exact"/>
              <w:textAlignment w:val="bottom"/>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Values definition:</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w:t>
            </w:r>
          </w:p>
          <w:p w14:paraId="612B3BA6">
            <w:pPr>
              <w:widowControl/>
              <w:spacing w:line="300" w:lineRule="exact"/>
              <w:textAlignment w:val="bottom"/>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Examples</w:t>
            </w:r>
            <w:r>
              <w:rPr>
                <w:rFonts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"我也是，看了你视频我也总对父母身体提心吊胆了"</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"感谢感恩善良的二位好医生分享正能量点赞"</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p>
          <w:p w14:paraId="529C429E">
            <w:pPr>
              <w:widowControl/>
              <w:spacing w:line="300" w:lineRule="exact"/>
              <w:textAlignment w:val="bottom"/>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"谢谢郝大夫的分享，涨知识了"</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p>
          <w:p w14:paraId="4FB49624">
            <w:pPr>
              <w:widowControl/>
              <w:spacing w:line="300" w:lineRule="exact"/>
              <w:textAlignment w:val="bottom"/>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"看了你视频确实焦虑，我昨天赶紧做了胃镜，幸好医生说没事，就是要养养"</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hange</w:t>
            </w:r>
          </w:p>
        </w:tc>
      </w:tr>
      <w:tr w14:paraId="4C8260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35" w:type="dxa"/>
            <w:tcBorders>
              <w:tl2br w:val="nil"/>
              <w:tr2bl w:val="nil"/>
            </w:tcBorders>
            <w:shd w:val="clear" w:color="auto" w:fill="auto"/>
            <w:noWrap/>
            <w:vAlign w:val="center"/>
          </w:tcPr>
          <w:p w14:paraId="7A387643">
            <w:pPr>
              <w:widowControl/>
              <w:textAlignment w:val="bottom"/>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5</w:t>
            </w:r>
          </w:p>
        </w:tc>
        <w:tc>
          <w:tcPr>
            <w:tcW w:w="2183" w:type="dxa"/>
            <w:tcBorders>
              <w:tl2br w:val="nil"/>
              <w:tr2bl w:val="nil"/>
            </w:tcBorders>
            <w:shd w:val="clear" w:color="auto" w:fill="auto"/>
            <w:noWrap/>
            <w:vAlign w:val="center"/>
          </w:tcPr>
          <w:p w14:paraId="631DD25D">
            <w:pP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C</w:t>
            </w:r>
            <w:r>
              <w:rPr>
                <w:rFonts w:ascii="Times New Roman" w:hAnsi="Times New Roman" w:eastAsia="宋体" w:cs="Times New Roman"/>
                <w:color w:val="000000"/>
                <w:kern w:val="0"/>
                <w:sz w:val="18"/>
                <w:szCs w:val="18"/>
                <w:lang w:bidi="ar"/>
              </w:rPr>
              <w:t>onceptual connotation of</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human values</w:t>
            </w:r>
            <w:r>
              <w:rPr>
                <w:rFonts w:hint="eastAsia" w:ascii="Times New Roman" w:hAnsi="Times New Roman" w:eastAsia="宋体" w:cs="Times New Roman"/>
                <w:color w:val="000000"/>
                <w:kern w:val="0"/>
                <w:sz w:val="18"/>
                <w:szCs w:val="18"/>
                <w:lang w:bidi="ar"/>
              </w:rPr>
              <w:t xml:space="preserve"> </w:t>
            </w:r>
          </w:p>
          <w:p w14:paraId="0A1C1487">
            <w:pPr>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and two sets of four value examples</w:t>
            </w:r>
          </w:p>
        </w:tc>
        <w:tc>
          <w:tcPr>
            <w:tcW w:w="11058" w:type="dxa"/>
            <w:tcBorders>
              <w:tl2br w:val="nil"/>
              <w:tr2bl w:val="nil"/>
            </w:tcBorders>
            <w:shd w:val="clear" w:color="auto" w:fill="auto"/>
            <w:noWrap/>
            <w:vAlign w:val="center"/>
          </w:tcPr>
          <w:p w14:paraId="724C313E">
            <w:pPr>
              <w:widowControl/>
              <w:spacing w:line="300" w:lineRule="exact"/>
              <w:textAlignment w:val="bottom"/>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Values definition:</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w:t>
            </w:r>
          </w:p>
          <w:p w14:paraId="700A0C2F">
            <w:pPr>
              <w:widowControl/>
              <w:spacing w:line="300" w:lineRule="exact"/>
              <w:jc w:val="left"/>
              <w:textAlignment w:val="bottom"/>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Examples</w:t>
            </w:r>
            <w:r>
              <w:rPr>
                <w:rFonts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"我也是，看了你视频我也总对父母身体提心吊胆了"</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"感谢感恩善良的二位好医生分享正能量点赞"</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"谢谢郝大夫的分享，涨知识了"</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"看了你视频确实焦虑，我昨天赶紧做了胃镜，幸好医生说没事，就是要养养"</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hange</w:t>
            </w:r>
            <w:r>
              <w:rPr>
                <w:rFonts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"两位优秀医生做科普。珠联璧合。感谢你们的真诚付出！"</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"我看到一些医生科普，也是很焦虑，有时不敢看。"</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"科普让我懂得好多医学知识！谢谢科普医生辛苦你了！"</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"头不自觉微微晃动"</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hange</w:t>
            </w:r>
          </w:p>
        </w:tc>
      </w:tr>
      <w:tr w14:paraId="4011A2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35" w:type="dxa"/>
            <w:tcBorders>
              <w:tl2br w:val="nil"/>
              <w:tr2bl w:val="nil"/>
            </w:tcBorders>
            <w:shd w:val="clear" w:color="auto" w:fill="auto"/>
            <w:noWrap/>
            <w:vAlign w:val="center"/>
          </w:tcPr>
          <w:p w14:paraId="40B2ACB2">
            <w:pPr>
              <w:widowControl/>
              <w:textAlignment w:val="bottom"/>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6</w:t>
            </w:r>
          </w:p>
        </w:tc>
        <w:tc>
          <w:tcPr>
            <w:tcW w:w="2183" w:type="dxa"/>
            <w:tcBorders>
              <w:tl2br w:val="nil"/>
              <w:tr2bl w:val="nil"/>
            </w:tcBorders>
            <w:shd w:val="clear" w:color="auto" w:fill="auto"/>
            <w:noWrap/>
            <w:vAlign w:val="center"/>
          </w:tcPr>
          <w:p w14:paraId="21980CC5">
            <w:pP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C</w:t>
            </w:r>
            <w:r>
              <w:rPr>
                <w:rFonts w:ascii="Times New Roman" w:hAnsi="Times New Roman" w:eastAsia="宋体" w:cs="Times New Roman"/>
                <w:color w:val="000000"/>
                <w:kern w:val="0"/>
                <w:sz w:val="18"/>
                <w:szCs w:val="18"/>
                <w:lang w:bidi="ar"/>
              </w:rPr>
              <w:t>onceptual connotation of</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human values</w:t>
            </w:r>
            <w:r>
              <w:rPr>
                <w:rFonts w:hint="eastAsia" w:ascii="Times New Roman" w:hAnsi="Times New Roman" w:eastAsia="宋体" w:cs="Times New Roman"/>
                <w:color w:val="000000"/>
                <w:kern w:val="0"/>
                <w:sz w:val="18"/>
                <w:szCs w:val="18"/>
                <w:lang w:bidi="ar"/>
              </w:rPr>
              <w:t xml:space="preserve"> </w:t>
            </w:r>
          </w:p>
          <w:p w14:paraId="612EAED1">
            <w:pPr>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and three sets of four value examples</w:t>
            </w:r>
          </w:p>
        </w:tc>
        <w:tc>
          <w:tcPr>
            <w:tcW w:w="11058" w:type="dxa"/>
            <w:tcBorders>
              <w:tl2br w:val="nil"/>
              <w:tr2bl w:val="nil"/>
            </w:tcBorders>
            <w:shd w:val="clear" w:color="auto" w:fill="auto"/>
            <w:noWrap/>
            <w:vAlign w:val="center"/>
          </w:tcPr>
          <w:p w14:paraId="56F56C2E">
            <w:pPr>
              <w:widowControl/>
              <w:spacing w:line="300" w:lineRule="exact"/>
              <w:textAlignment w:val="bottom"/>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Values definition:</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w:t>
            </w:r>
          </w:p>
          <w:p w14:paraId="2043FBE7">
            <w:pPr>
              <w:spacing w:line="300" w:lineRule="exact"/>
              <w:jc w:val="left"/>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Examples</w:t>
            </w:r>
            <w:r>
              <w:rPr>
                <w:rFonts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"我也是，看了你视频我也总对父母身体提心吊胆了"</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"感谢感恩善良的二位好医生分享正能量点赞"</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"谢谢郝大夫的分享，涨知识了"</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"看了你视频确实焦虑，我昨天赶紧做了胃镜，幸好医生说没事，就是要养养"</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hange</w:t>
            </w:r>
            <w:r>
              <w:rPr>
                <w:rFonts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"两位优秀医生做科普。珠联璧合。感谢你们的真诚付出！"</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"我看到一些医生科普，也是很焦虑，有时不敢看。"</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"科普让我懂得好多医学知识！谢谢科普医生辛苦你了！"</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p>
          <w:p w14:paraId="6B238290">
            <w:pPr>
              <w:spacing w:line="300" w:lineRule="exact"/>
              <w:jc w:val="left"/>
            </w:pP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"头不自觉微微晃动"</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hange</w:t>
            </w:r>
          </w:p>
          <w:p w14:paraId="4C54D09D">
            <w:pPr>
              <w:spacing w:line="300" w:lineRule="exact"/>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"发给我爸看一下，老喜欢喝酒"</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T</w:t>
            </w:r>
            <w:r>
              <w:rPr>
                <w:rFonts w:ascii="Times New Roman" w:hAnsi="Times New Roman" w:eastAsia="宋体" w:cs="Times New Roman"/>
                <w:color w:val="000000"/>
                <w:sz w:val="18"/>
                <w:szCs w:val="18"/>
              </w:rPr>
              <w:t>ranscendence</w:t>
            </w:r>
          </w:p>
          <w:p w14:paraId="6CD3EC14">
            <w:pPr>
              <w:spacing w:line="300" w:lineRule="exact"/>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"体检费有点小贵"</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C</w:t>
            </w:r>
            <w:r>
              <w:rPr>
                <w:rFonts w:ascii="Times New Roman" w:hAnsi="Times New Roman" w:eastAsia="宋体" w:cs="Times New Roman"/>
                <w:color w:val="000000"/>
                <w:sz w:val="18"/>
                <w:szCs w:val="18"/>
              </w:rPr>
              <w:t>onserva</w:t>
            </w:r>
            <w:r>
              <w:rPr>
                <w:rFonts w:hint="eastAsia" w:ascii="Times New Roman" w:hAnsi="Times New Roman" w:eastAsia="宋体" w:cs="Times New Roman"/>
                <w:color w:val="000000"/>
                <w:sz w:val="18"/>
                <w:szCs w:val="18"/>
              </w:rPr>
              <w:t>tion</w:t>
            </w:r>
          </w:p>
          <w:p w14:paraId="19149B54">
            <w:pPr>
              <w:spacing w:line="300" w:lineRule="exact"/>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"如果早点刷到您的视频就好了"</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O</w:t>
            </w:r>
            <w:r>
              <w:rPr>
                <w:rFonts w:ascii="Times New Roman" w:hAnsi="Times New Roman" w:eastAsia="宋体" w:cs="Times New Roman"/>
                <w:color w:val="000000"/>
                <w:sz w:val="18"/>
                <w:szCs w:val="18"/>
              </w:rPr>
              <w:t xml:space="preserve">pen </w:t>
            </w:r>
            <w:r>
              <w:rPr>
                <w:rFonts w:hint="eastAsia" w:ascii="Times New Roman" w:hAnsi="Times New Roman" w:eastAsia="宋体" w:cs="Times New Roman"/>
                <w:color w:val="000000"/>
                <w:sz w:val="18"/>
                <w:szCs w:val="18"/>
              </w:rPr>
              <w:t>to C</w:t>
            </w:r>
            <w:r>
              <w:rPr>
                <w:rFonts w:ascii="Times New Roman" w:hAnsi="Times New Roman" w:eastAsia="宋体" w:cs="Times New Roman"/>
                <w:color w:val="000000"/>
                <w:sz w:val="18"/>
                <w:szCs w:val="18"/>
              </w:rPr>
              <w:t>hange</w:t>
            </w:r>
          </w:p>
          <w:p w14:paraId="469793E5">
            <w:pPr>
              <w:spacing w:line="300" w:lineRule="exact"/>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Review</w:t>
            </w:r>
            <w:r>
              <w:rPr>
                <w:rFonts w:ascii="Times New Roman" w:hAnsi="Times New Roman" w:eastAsia="宋体" w:cs="Times New Roman"/>
                <w:color w:val="000000"/>
                <w:kern w:val="0"/>
                <w:sz w:val="18"/>
                <w:szCs w:val="18"/>
                <w:lang w:bidi="ar"/>
              </w:rPr>
              <w:t>: "感谢魏老师的分享"</w:t>
            </w:r>
            <w:r>
              <w:rPr>
                <w:rFonts w:ascii="Times New Roman" w:hAnsi="Times New Roman" w:eastAsia="宋体" w:cs="Times New Roman"/>
                <w:color w:val="000000"/>
                <w:kern w:val="0"/>
                <w:sz w:val="18"/>
                <w:szCs w:val="18"/>
                <w:lang w:bidi="ar"/>
              </w:rPr>
              <w:br w:type="textWrapping"/>
            </w:r>
            <w:r>
              <w:rPr>
                <w:rFonts w:hint="eastAsia" w:ascii="Times New Roman" w:hAnsi="Times New Roman" w:eastAsia="宋体" w:cs="Times New Roman"/>
                <w:color w:val="000000"/>
                <w:kern w:val="0"/>
                <w:sz w:val="18"/>
                <w:szCs w:val="18"/>
                <w:lang w:bidi="ar"/>
              </w:rPr>
              <w:t>Classification</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sz w:val="18"/>
                <w:szCs w:val="18"/>
              </w:rPr>
              <w:t>S</w:t>
            </w:r>
            <w:r>
              <w:rPr>
                <w:rFonts w:ascii="Times New Roman" w:hAnsi="Times New Roman" w:eastAsia="宋体" w:cs="Times New Roman"/>
                <w:color w:val="000000"/>
                <w:sz w:val="18"/>
                <w:szCs w:val="18"/>
              </w:rPr>
              <w:t>elf-</w:t>
            </w:r>
            <w:r>
              <w:rPr>
                <w:rFonts w:hint="eastAsia" w:ascii="Times New Roman" w:hAnsi="Times New Roman" w:eastAsia="宋体" w:cs="Times New Roman"/>
                <w:color w:val="000000"/>
                <w:sz w:val="18"/>
                <w:szCs w:val="18"/>
              </w:rPr>
              <w:t>Enhancement</w:t>
            </w:r>
          </w:p>
        </w:tc>
      </w:tr>
    </w:tbl>
    <w:p w14:paraId="7F9D11BC">
      <w:pPr>
        <w:jc w:val="left"/>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sz w:val="18"/>
          <w:szCs w:val="18"/>
        </w:rPr>
        <w:t xml:space="preserve">Appendix </w:t>
      </w:r>
      <w:r>
        <w:rPr>
          <w:rFonts w:hint="eastAsia" w:ascii="Times New Roman" w:hAnsi="Times New Roman" w:cs="Times New Roman"/>
          <w:sz w:val="18"/>
          <w:szCs w:val="18"/>
        </w:rPr>
        <w:t xml:space="preserve">B. </w:t>
      </w:r>
      <w:r>
        <w:rPr>
          <w:rFonts w:hint="eastAsia" w:ascii="Times New Roman" w:hAnsi="Times New Roman" w:cs="Times New Roman"/>
          <w:color w:val="000000" w:themeColor="text1"/>
          <w:sz w:val="18"/>
          <w:szCs w:val="18"/>
          <w14:textFill>
            <w14:solidFill>
              <w14:schemeClr w14:val="tx1"/>
            </w14:solidFill>
          </w14:textFill>
        </w:rPr>
        <w:t>The ten main questions in the survey.</w:t>
      </w:r>
    </w:p>
    <w:tbl>
      <w:tblPr>
        <w:tblStyle w:val="3"/>
        <w:tblW w:w="9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0"/>
        <w:gridCol w:w="4474"/>
        <w:gridCol w:w="1140"/>
        <w:gridCol w:w="3326"/>
      </w:tblGrid>
      <w:tr w14:paraId="2971ED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960" w:type="dxa"/>
            <w:tcBorders>
              <w:bottom w:val="single" w:color="auto" w:sz="6" w:space="0"/>
            </w:tcBorders>
            <w:shd w:val="clear" w:color="auto" w:fill="auto"/>
            <w:noWrap/>
            <w:vAlign w:val="center"/>
          </w:tcPr>
          <w:p w14:paraId="47BE5AC6">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Number</w:t>
            </w:r>
          </w:p>
        </w:tc>
        <w:tc>
          <w:tcPr>
            <w:tcW w:w="4474" w:type="dxa"/>
            <w:tcBorders>
              <w:bottom w:val="single" w:color="auto" w:sz="6" w:space="0"/>
            </w:tcBorders>
            <w:shd w:val="clear" w:color="auto" w:fill="auto"/>
            <w:noWrap/>
            <w:vAlign w:val="center"/>
          </w:tcPr>
          <w:p w14:paraId="6CAD32F9">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Question</w:t>
            </w:r>
          </w:p>
        </w:tc>
        <w:tc>
          <w:tcPr>
            <w:tcW w:w="1140" w:type="dxa"/>
            <w:tcBorders>
              <w:bottom w:val="single" w:color="auto" w:sz="6" w:space="0"/>
            </w:tcBorders>
            <w:shd w:val="clear" w:color="auto" w:fill="auto"/>
            <w:noWrap/>
            <w:vAlign w:val="center"/>
          </w:tcPr>
          <w:p w14:paraId="4B895A84">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Number</w:t>
            </w:r>
          </w:p>
        </w:tc>
        <w:tc>
          <w:tcPr>
            <w:tcW w:w="3326" w:type="dxa"/>
            <w:tcBorders>
              <w:bottom w:val="single" w:color="auto" w:sz="6" w:space="0"/>
            </w:tcBorders>
            <w:shd w:val="clear" w:color="auto" w:fill="auto"/>
            <w:noWrap/>
            <w:vAlign w:val="center"/>
          </w:tcPr>
          <w:p w14:paraId="6F624EB2">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Question</w:t>
            </w:r>
          </w:p>
        </w:tc>
      </w:tr>
      <w:tr w14:paraId="18B7CB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960" w:type="dxa"/>
            <w:tcBorders>
              <w:top w:val="single" w:color="auto" w:sz="6" w:space="0"/>
              <w:tl2br w:val="nil"/>
              <w:tr2bl w:val="nil"/>
            </w:tcBorders>
            <w:shd w:val="clear" w:color="auto" w:fill="auto"/>
            <w:noWrap/>
            <w:vAlign w:val="center"/>
          </w:tcPr>
          <w:p w14:paraId="12A615D9">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1</w:t>
            </w:r>
          </w:p>
        </w:tc>
        <w:tc>
          <w:tcPr>
            <w:tcW w:w="4474" w:type="dxa"/>
            <w:tcBorders>
              <w:top w:val="single" w:color="auto" w:sz="6" w:space="0"/>
              <w:tl2br w:val="nil"/>
              <w:tr2bl w:val="nil"/>
            </w:tcBorders>
            <w:shd w:val="clear" w:color="auto" w:fill="auto"/>
            <w:vAlign w:val="center"/>
          </w:tcPr>
          <w:p w14:paraId="08A0E886">
            <w:pPr>
              <w:widowControl/>
              <w:jc w:val="center"/>
              <w:textAlignment w:val="center"/>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Equality, justice, diversity</w:t>
            </w:r>
          </w:p>
        </w:tc>
        <w:tc>
          <w:tcPr>
            <w:tcW w:w="1140" w:type="dxa"/>
            <w:tcBorders>
              <w:top w:val="single" w:color="auto" w:sz="6" w:space="0"/>
              <w:tl2br w:val="nil"/>
              <w:tr2bl w:val="nil"/>
            </w:tcBorders>
            <w:shd w:val="clear" w:color="auto" w:fill="auto"/>
            <w:noWrap/>
            <w:vAlign w:val="center"/>
          </w:tcPr>
          <w:p w14:paraId="2005031F">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6</w:t>
            </w:r>
          </w:p>
        </w:tc>
        <w:tc>
          <w:tcPr>
            <w:tcW w:w="3326" w:type="dxa"/>
            <w:tcBorders>
              <w:top w:val="single" w:color="auto" w:sz="6" w:space="0"/>
              <w:tl2br w:val="nil"/>
              <w:tr2bl w:val="nil"/>
            </w:tcBorders>
            <w:shd w:val="clear" w:color="auto" w:fill="auto"/>
            <w:vAlign w:val="center"/>
          </w:tcPr>
          <w:p w14:paraId="7B5576B4">
            <w:pPr>
              <w:widowControl/>
              <w:jc w:val="center"/>
              <w:textAlignment w:val="center"/>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Success, competence and being admired</w:t>
            </w:r>
          </w:p>
        </w:tc>
      </w:tr>
      <w:tr w14:paraId="085027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960" w:type="dxa"/>
            <w:tcBorders>
              <w:tl2br w:val="nil"/>
              <w:tr2bl w:val="nil"/>
            </w:tcBorders>
            <w:shd w:val="clear" w:color="auto" w:fill="auto"/>
            <w:noWrap/>
            <w:vAlign w:val="center"/>
          </w:tcPr>
          <w:p w14:paraId="5DFF492C">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2</w:t>
            </w:r>
          </w:p>
        </w:tc>
        <w:tc>
          <w:tcPr>
            <w:tcW w:w="4474" w:type="dxa"/>
            <w:tcBorders>
              <w:tl2br w:val="nil"/>
              <w:tr2bl w:val="nil"/>
            </w:tcBorders>
            <w:shd w:val="clear" w:color="auto" w:fill="auto"/>
            <w:vAlign w:val="center"/>
          </w:tcPr>
          <w:p w14:paraId="25A71505">
            <w:pPr>
              <w:widowControl/>
              <w:jc w:val="center"/>
              <w:textAlignment w:val="center"/>
              <w:rPr>
                <w:rFonts w:ascii="Times New Roman" w:hAnsi="Times New Roman" w:eastAsia="宋体" w:cs="Times New Roman"/>
                <w:color w:val="000000"/>
                <w:sz w:val="18"/>
                <w:szCs w:val="18"/>
              </w:rPr>
            </w:pPr>
            <w:r>
              <w:rPr>
                <w:rFonts w:hint="eastAsia" w:ascii="Times New Roman" w:hAnsi="Times New Roman" w:eastAsia="宋体" w:cs="Times New Roman"/>
                <w:color w:val="000000"/>
                <w:kern w:val="0"/>
                <w:sz w:val="18"/>
                <w:szCs w:val="18"/>
                <w:lang w:bidi="ar"/>
              </w:rPr>
              <w:t>H</w:t>
            </w:r>
            <w:r>
              <w:rPr>
                <w:rFonts w:ascii="Times New Roman" w:hAnsi="Times New Roman" w:eastAsia="宋体" w:cs="Times New Roman"/>
                <w:color w:val="000000"/>
                <w:kern w:val="0"/>
                <w:sz w:val="18"/>
                <w:szCs w:val="18"/>
                <w:lang w:bidi="ar"/>
              </w:rPr>
              <w:t>elpfulness, loyalty, welfare of one's close social circle</w:t>
            </w:r>
          </w:p>
        </w:tc>
        <w:tc>
          <w:tcPr>
            <w:tcW w:w="1140" w:type="dxa"/>
            <w:tcBorders>
              <w:tl2br w:val="nil"/>
              <w:tr2bl w:val="nil"/>
            </w:tcBorders>
            <w:shd w:val="clear" w:color="auto" w:fill="auto"/>
            <w:noWrap/>
            <w:vAlign w:val="center"/>
          </w:tcPr>
          <w:p w14:paraId="15DE3A35">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7</w:t>
            </w:r>
          </w:p>
        </w:tc>
        <w:tc>
          <w:tcPr>
            <w:tcW w:w="3326" w:type="dxa"/>
            <w:tcBorders>
              <w:tl2br w:val="nil"/>
              <w:tr2bl w:val="nil"/>
            </w:tcBorders>
            <w:shd w:val="clear" w:color="auto" w:fill="auto"/>
            <w:vAlign w:val="center"/>
          </w:tcPr>
          <w:p w14:paraId="096BD17C">
            <w:pPr>
              <w:widowControl/>
              <w:jc w:val="center"/>
              <w:textAlignment w:val="center"/>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Material wealth and control over others</w:t>
            </w:r>
          </w:p>
        </w:tc>
      </w:tr>
      <w:tr w14:paraId="32E6C7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960" w:type="dxa"/>
            <w:tcBorders>
              <w:tl2br w:val="nil"/>
              <w:tr2bl w:val="nil"/>
            </w:tcBorders>
            <w:shd w:val="clear" w:color="auto" w:fill="auto"/>
            <w:noWrap/>
            <w:vAlign w:val="center"/>
          </w:tcPr>
          <w:p w14:paraId="0605BFAB">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3</w:t>
            </w:r>
          </w:p>
        </w:tc>
        <w:tc>
          <w:tcPr>
            <w:tcW w:w="4474" w:type="dxa"/>
            <w:tcBorders>
              <w:tl2br w:val="nil"/>
              <w:tr2bl w:val="nil"/>
            </w:tcBorders>
            <w:shd w:val="clear" w:color="auto" w:fill="auto"/>
            <w:vAlign w:val="center"/>
          </w:tcPr>
          <w:p w14:paraId="2596BDA4">
            <w:pPr>
              <w:widowControl/>
              <w:jc w:val="center"/>
              <w:textAlignment w:val="center"/>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Originality, creativity and independent thought</w:t>
            </w:r>
          </w:p>
        </w:tc>
        <w:tc>
          <w:tcPr>
            <w:tcW w:w="1140" w:type="dxa"/>
            <w:tcBorders>
              <w:tl2br w:val="nil"/>
              <w:tr2bl w:val="nil"/>
            </w:tcBorders>
            <w:shd w:val="clear" w:color="auto" w:fill="auto"/>
            <w:noWrap/>
            <w:vAlign w:val="center"/>
          </w:tcPr>
          <w:p w14:paraId="22F61119">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8</w:t>
            </w:r>
          </w:p>
        </w:tc>
        <w:tc>
          <w:tcPr>
            <w:tcW w:w="3326" w:type="dxa"/>
            <w:tcBorders>
              <w:tl2br w:val="nil"/>
              <w:tr2bl w:val="nil"/>
            </w:tcBorders>
            <w:shd w:val="clear" w:color="auto" w:fill="auto"/>
            <w:vAlign w:val="center"/>
          </w:tcPr>
          <w:p w14:paraId="54FAC1B9">
            <w:pPr>
              <w:widowControl/>
              <w:jc w:val="center"/>
              <w:textAlignment w:val="center"/>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Safety and social order</w:t>
            </w:r>
          </w:p>
        </w:tc>
      </w:tr>
      <w:tr w14:paraId="303213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960" w:type="dxa"/>
            <w:tcBorders>
              <w:tl2br w:val="nil"/>
              <w:tr2bl w:val="nil"/>
            </w:tcBorders>
            <w:shd w:val="clear" w:color="auto" w:fill="auto"/>
            <w:noWrap/>
            <w:vAlign w:val="center"/>
          </w:tcPr>
          <w:p w14:paraId="5A86054B">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4</w:t>
            </w:r>
          </w:p>
        </w:tc>
        <w:tc>
          <w:tcPr>
            <w:tcW w:w="4474" w:type="dxa"/>
            <w:tcBorders>
              <w:tl2br w:val="nil"/>
              <w:tr2bl w:val="nil"/>
            </w:tcBorders>
            <w:shd w:val="clear" w:color="auto" w:fill="auto"/>
            <w:vAlign w:val="center"/>
          </w:tcPr>
          <w:p w14:paraId="6285EDDA">
            <w:pPr>
              <w:widowControl/>
              <w:jc w:val="center"/>
              <w:textAlignment w:val="center"/>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Novelty and excitement</w:t>
            </w:r>
          </w:p>
        </w:tc>
        <w:tc>
          <w:tcPr>
            <w:tcW w:w="1140" w:type="dxa"/>
            <w:tcBorders>
              <w:tl2br w:val="nil"/>
              <w:tr2bl w:val="nil"/>
            </w:tcBorders>
            <w:shd w:val="clear" w:color="auto" w:fill="auto"/>
            <w:noWrap/>
            <w:vAlign w:val="center"/>
          </w:tcPr>
          <w:p w14:paraId="4702BBB5">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9</w:t>
            </w:r>
          </w:p>
        </w:tc>
        <w:tc>
          <w:tcPr>
            <w:tcW w:w="3326" w:type="dxa"/>
            <w:tcBorders>
              <w:tl2br w:val="nil"/>
              <w:tr2bl w:val="nil"/>
            </w:tcBorders>
            <w:shd w:val="clear" w:color="auto" w:fill="auto"/>
            <w:vAlign w:val="center"/>
          </w:tcPr>
          <w:p w14:paraId="4EE7DDBA">
            <w:pPr>
              <w:widowControl/>
              <w:jc w:val="center"/>
              <w:textAlignment w:val="center"/>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Obedience and social norms</w:t>
            </w:r>
          </w:p>
        </w:tc>
      </w:tr>
      <w:tr w14:paraId="0DAB68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960" w:type="dxa"/>
            <w:tcBorders>
              <w:tl2br w:val="nil"/>
              <w:tr2bl w:val="nil"/>
            </w:tcBorders>
            <w:shd w:val="clear" w:color="auto" w:fill="auto"/>
            <w:noWrap/>
            <w:vAlign w:val="center"/>
          </w:tcPr>
          <w:p w14:paraId="0C286A13">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5</w:t>
            </w:r>
          </w:p>
        </w:tc>
        <w:tc>
          <w:tcPr>
            <w:tcW w:w="4474" w:type="dxa"/>
            <w:tcBorders>
              <w:tl2br w:val="nil"/>
              <w:tr2bl w:val="nil"/>
            </w:tcBorders>
            <w:shd w:val="clear" w:color="auto" w:fill="auto"/>
            <w:vAlign w:val="center"/>
          </w:tcPr>
          <w:p w14:paraId="057A192C">
            <w:pPr>
              <w:widowControl/>
              <w:jc w:val="center"/>
              <w:textAlignment w:val="center"/>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Enjoyment and pleasure</w:t>
            </w:r>
          </w:p>
        </w:tc>
        <w:tc>
          <w:tcPr>
            <w:tcW w:w="1140" w:type="dxa"/>
            <w:tcBorders>
              <w:tl2br w:val="nil"/>
              <w:tr2bl w:val="nil"/>
            </w:tcBorders>
            <w:shd w:val="clear" w:color="auto" w:fill="auto"/>
            <w:noWrap/>
            <w:vAlign w:val="center"/>
          </w:tcPr>
          <w:p w14:paraId="38245E4A">
            <w:pPr>
              <w:widowControl/>
              <w:jc w:val="center"/>
              <w:textAlignment w:val="center"/>
              <w:rPr>
                <w:rFonts w:ascii="Times New Roman" w:hAnsi="Times New Roman" w:cs="Times New Roman"/>
                <w:color w:val="000000"/>
                <w:sz w:val="18"/>
                <w:szCs w:val="18"/>
              </w:rPr>
            </w:pPr>
            <w:r>
              <w:rPr>
                <w:rFonts w:ascii="Times New Roman" w:hAnsi="Times New Roman" w:eastAsia="宋体" w:cs="Times New Roman"/>
                <w:color w:val="000000"/>
                <w:kern w:val="0"/>
                <w:sz w:val="18"/>
                <w:szCs w:val="18"/>
                <w:lang w:bidi="ar"/>
              </w:rPr>
              <w:t>10</w:t>
            </w:r>
          </w:p>
        </w:tc>
        <w:tc>
          <w:tcPr>
            <w:tcW w:w="3326" w:type="dxa"/>
            <w:tcBorders>
              <w:tl2br w:val="nil"/>
              <w:tr2bl w:val="nil"/>
            </w:tcBorders>
            <w:shd w:val="clear" w:color="auto" w:fill="auto"/>
            <w:vAlign w:val="center"/>
          </w:tcPr>
          <w:p w14:paraId="6642044A">
            <w:pPr>
              <w:widowControl/>
              <w:jc w:val="center"/>
              <w:textAlignment w:val="center"/>
              <w:rPr>
                <w:rFonts w:ascii="Times New Roman" w:hAnsi="Times New Roman" w:eastAsia="宋体" w:cs="Times New Roman"/>
                <w:color w:val="000000"/>
                <w:sz w:val="18"/>
                <w:szCs w:val="18"/>
              </w:rPr>
            </w:pPr>
            <w:r>
              <w:rPr>
                <w:rFonts w:ascii="Times New Roman" w:hAnsi="Times New Roman" w:eastAsia="宋体" w:cs="Times New Roman"/>
                <w:color w:val="000000"/>
                <w:kern w:val="0"/>
                <w:sz w:val="18"/>
                <w:szCs w:val="18"/>
                <w:lang w:bidi="ar"/>
              </w:rPr>
              <w:t>Humbleness, acceptance of one's place in life and religion</w:t>
            </w:r>
          </w:p>
        </w:tc>
      </w:tr>
    </w:tbl>
    <w:p w14:paraId="03DC3807"/>
    <w:p w14:paraId="017AC894">
      <w:bookmarkStart w:id="0" w:name="_GoBack"/>
      <w:bookmarkEnd w:id="0"/>
    </w:p>
    <w:sectPr>
      <w:pgSz w:w="16838" w:h="11906" w:orient="landscape"/>
      <w:pgMar w:top="1800" w:right="1440" w:bottom="1800" w:left="144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357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2026-03-18T14:13:08Z</dcterms:created>
  <dc:creator>lkh17</dc:creator>
  <cp:lastModifiedBy>刘kkk</cp:lastModifiedBy>
  <dcterms:modified xsi:type="dcterms:W3CDTF">2026-03-18T14:13:17Z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eyJoZGlkIjoiN2U5ODA0ZDJiNTcxMDVhODY4ZjVlODE1MDdiNzFjOGQiLCJ1c2VySWQiOiIzNjg0ODIxNDEifQ==</vt:lpwstr>
  </property>
  <property fmtid="{D5CDD505-2E9C-101B-9397-08002B2CF9AE}" pid="4" name="ICV">
    <vt:lpwstr>93CA035E5FFD4AC4967CFCDBA7799268_12</vt:lpwstr>
  </property>
</Properties>
</file>