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9F4" w:rsidRPr="004749F4" w:rsidRDefault="004749F4" w:rsidP="004749F4">
      <w:pPr>
        <w:jc w:val="center"/>
        <w:rPr>
          <w:b/>
          <w:sz w:val="28"/>
          <w:szCs w:val="28"/>
          <w:u w:val="single"/>
        </w:rPr>
      </w:pPr>
      <w:r w:rsidRPr="004749F4">
        <w:rPr>
          <w:b/>
          <w:sz w:val="28"/>
          <w:szCs w:val="28"/>
          <w:u w:val="single"/>
        </w:rPr>
        <w:t>Milestone Report – Prospecting the U.S. Rental Market (Mining for Cash Flow)</w:t>
      </w:r>
    </w:p>
    <w:p w:rsidR="004749F4" w:rsidRPr="004749F4" w:rsidRDefault="002B437B">
      <w:pPr>
        <w:rPr>
          <w:sz w:val="24"/>
          <w:szCs w:val="24"/>
          <w:u w:val="single"/>
        </w:rPr>
      </w:pPr>
      <w:r>
        <w:rPr>
          <w:sz w:val="24"/>
          <w:szCs w:val="24"/>
          <w:u w:val="single"/>
        </w:rPr>
        <w:t>Problem Statement</w:t>
      </w:r>
    </w:p>
    <w:p w:rsidR="007228DC" w:rsidRDefault="004749F4">
      <w:pPr>
        <w:rPr>
          <w:sz w:val="24"/>
          <w:szCs w:val="24"/>
        </w:rPr>
      </w:pPr>
      <w:r>
        <w:rPr>
          <w:sz w:val="24"/>
          <w:szCs w:val="24"/>
        </w:rPr>
        <w:t>Investing in rental properties can be a difficult</w:t>
      </w:r>
      <w:r w:rsidR="007228DC">
        <w:rPr>
          <w:sz w:val="24"/>
          <w:szCs w:val="24"/>
        </w:rPr>
        <w:t xml:space="preserve"> process, but is also can rewarding, offering investo</w:t>
      </w:r>
      <w:r w:rsidR="00515CF1">
        <w:rPr>
          <w:sz w:val="24"/>
          <w:szCs w:val="24"/>
        </w:rPr>
        <w:t>rs the potential for</w:t>
      </w:r>
      <w:r w:rsidR="007228DC">
        <w:rPr>
          <w:sz w:val="24"/>
          <w:szCs w:val="24"/>
        </w:rPr>
        <w:t xml:space="preserve"> long-term</w:t>
      </w:r>
      <w:r w:rsidR="002B437B">
        <w:rPr>
          <w:sz w:val="24"/>
          <w:szCs w:val="24"/>
        </w:rPr>
        <w:t xml:space="preserve"> income</w:t>
      </w:r>
      <w:r w:rsidR="007228DC">
        <w:rPr>
          <w:sz w:val="24"/>
          <w:szCs w:val="24"/>
        </w:rPr>
        <w:t xml:space="preserve"> followed by the crescendo of a lump sum sale</w:t>
      </w:r>
      <w:r w:rsidR="002B437B">
        <w:rPr>
          <w:sz w:val="24"/>
          <w:szCs w:val="24"/>
        </w:rPr>
        <w:t xml:space="preserve"> (if you so choose)</w:t>
      </w:r>
      <w:r w:rsidR="007228DC">
        <w:rPr>
          <w:sz w:val="24"/>
          <w:szCs w:val="24"/>
        </w:rPr>
        <w:t>. Successful rental property investors do their homework ahead of time by doing the necessary math to better understand what returns they can expect for a given property in a given region, but many investors are unable to compare returns across vast regions or have little flexibility in their assumptions</w:t>
      </w:r>
      <w:r w:rsidR="00515CF1">
        <w:rPr>
          <w:sz w:val="24"/>
          <w:szCs w:val="24"/>
        </w:rPr>
        <w:t>;</w:t>
      </w:r>
      <w:r w:rsidR="002B437B">
        <w:rPr>
          <w:sz w:val="24"/>
          <w:szCs w:val="24"/>
        </w:rPr>
        <w:t xml:space="preserve"> paving the wave for costly outcomes</w:t>
      </w:r>
      <w:r w:rsidR="007228DC">
        <w:rPr>
          <w:sz w:val="24"/>
          <w:szCs w:val="24"/>
        </w:rPr>
        <w:t>.</w:t>
      </w:r>
    </w:p>
    <w:p w:rsidR="007228DC" w:rsidRPr="007228DC" w:rsidRDefault="002B437B">
      <w:pPr>
        <w:rPr>
          <w:sz w:val="24"/>
          <w:szCs w:val="24"/>
          <w:u w:val="single"/>
        </w:rPr>
      </w:pPr>
      <w:r>
        <w:rPr>
          <w:sz w:val="24"/>
          <w:szCs w:val="24"/>
          <w:u w:val="single"/>
        </w:rPr>
        <w:t>Solution</w:t>
      </w:r>
    </w:p>
    <w:p w:rsidR="007228DC" w:rsidRDefault="007228DC">
      <w:pPr>
        <w:rPr>
          <w:sz w:val="24"/>
          <w:szCs w:val="24"/>
        </w:rPr>
      </w:pPr>
      <w:r>
        <w:rPr>
          <w:sz w:val="24"/>
          <w:szCs w:val="24"/>
        </w:rPr>
        <w:t>A scalable rental property model that can look at vast amounts of data across neighborhoods solves these problems. An o</w:t>
      </w:r>
      <w:r w:rsidR="00515CF1">
        <w:rPr>
          <w:sz w:val="24"/>
          <w:szCs w:val="24"/>
        </w:rPr>
        <w:t>ptimal model would offer everyday</w:t>
      </w:r>
      <w:r>
        <w:rPr>
          <w:sz w:val="24"/>
          <w:szCs w:val="24"/>
        </w:rPr>
        <w:t xml:space="preserve"> property investors institutional quality analysis</w:t>
      </w:r>
      <w:r w:rsidR="00515CF1">
        <w:rPr>
          <w:sz w:val="24"/>
          <w:szCs w:val="24"/>
        </w:rPr>
        <w:t xml:space="preserve">. The model would give the user </w:t>
      </w:r>
      <w:r>
        <w:rPr>
          <w:sz w:val="24"/>
          <w:szCs w:val="24"/>
        </w:rPr>
        <w:t>the ability to iterate through various scenarios, change assumptions, and compare returns across broad geographies. My capstone</w:t>
      </w:r>
      <w:r w:rsidR="00515CF1">
        <w:rPr>
          <w:sz w:val="24"/>
          <w:szCs w:val="24"/>
        </w:rPr>
        <w:t xml:space="preserve"> project</w:t>
      </w:r>
      <w:r>
        <w:rPr>
          <w:sz w:val="24"/>
          <w:szCs w:val="24"/>
        </w:rPr>
        <w:t xml:space="preserve"> aims to solve this problem</w:t>
      </w:r>
      <w:r w:rsidR="00B039AC">
        <w:rPr>
          <w:sz w:val="24"/>
          <w:szCs w:val="24"/>
        </w:rPr>
        <w:t xml:space="preserve"> by leveraging my domain knowledge and growing capabilities within the data science discipline</w:t>
      </w:r>
      <w:r>
        <w:rPr>
          <w:sz w:val="24"/>
          <w:szCs w:val="24"/>
        </w:rPr>
        <w:t>.</w:t>
      </w:r>
    </w:p>
    <w:p w:rsidR="007228DC" w:rsidRDefault="007228DC">
      <w:pPr>
        <w:rPr>
          <w:sz w:val="24"/>
          <w:szCs w:val="24"/>
          <w:u w:val="single"/>
        </w:rPr>
      </w:pPr>
      <w:r>
        <w:rPr>
          <w:sz w:val="24"/>
          <w:szCs w:val="24"/>
        </w:rPr>
        <w:t xml:space="preserve"> </w:t>
      </w:r>
      <w:r w:rsidR="002B437B" w:rsidRPr="002B437B">
        <w:rPr>
          <w:sz w:val="24"/>
          <w:szCs w:val="24"/>
          <w:u w:val="single"/>
        </w:rPr>
        <w:t>The Data</w:t>
      </w:r>
      <w:r w:rsidRPr="002B437B">
        <w:rPr>
          <w:sz w:val="24"/>
          <w:szCs w:val="24"/>
          <w:u w:val="single"/>
        </w:rPr>
        <w:t xml:space="preserve"> </w:t>
      </w:r>
    </w:p>
    <w:p w:rsidR="002B437B" w:rsidRDefault="002B437B">
      <w:pPr>
        <w:rPr>
          <w:sz w:val="24"/>
          <w:szCs w:val="24"/>
        </w:rPr>
      </w:pPr>
      <w:r>
        <w:rPr>
          <w:sz w:val="24"/>
          <w:szCs w:val="24"/>
        </w:rPr>
        <w:t>The data wranglin</w:t>
      </w:r>
      <w:r w:rsidR="00406A82">
        <w:rPr>
          <w:sz w:val="24"/>
          <w:szCs w:val="24"/>
        </w:rPr>
        <w:t>g process was fairly straightforward</w:t>
      </w:r>
      <w:r>
        <w:rPr>
          <w:sz w:val="24"/>
          <w:szCs w:val="24"/>
        </w:rPr>
        <w:t xml:space="preserve"> overall, which was </w:t>
      </w:r>
      <w:r w:rsidR="00406A82">
        <w:rPr>
          <w:sz w:val="24"/>
          <w:szCs w:val="24"/>
        </w:rPr>
        <w:t xml:space="preserve">more than </w:t>
      </w:r>
      <w:r>
        <w:rPr>
          <w:sz w:val="24"/>
          <w:szCs w:val="24"/>
        </w:rPr>
        <w:t>offset by</w:t>
      </w:r>
      <w:r w:rsidR="00406A82">
        <w:rPr>
          <w:sz w:val="24"/>
          <w:szCs w:val="24"/>
        </w:rPr>
        <w:t xml:space="preserve"> the processing requirements</w:t>
      </w:r>
      <w:r>
        <w:rPr>
          <w:sz w:val="24"/>
          <w:szCs w:val="24"/>
        </w:rPr>
        <w:t xml:space="preserve">.  </w:t>
      </w:r>
      <w:r w:rsidR="00B039AC">
        <w:rPr>
          <w:sz w:val="24"/>
          <w:szCs w:val="24"/>
        </w:rPr>
        <w:t>In the following summary, I list the data sources and primary fields used:</w:t>
      </w:r>
    </w:p>
    <w:p w:rsidR="00B039AC" w:rsidRPr="00B039AC" w:rsidRDefault="00B039AC" w:rsidP="00B039AC">
      <w:pPr>
        <w:pStyle w:val="ListParagraph"/>
        <w:numPr>
          <w:ilvl w:val="0"/>
          <w:numId w:val="1"/>
        </w:numPr>
        <w:rPr>
          <w:sz w:val="24"/>
          <w:szCs w:val="24"/>
        </w:rPr>
      </w:pPr>
      <w:r>
        <w:rPr>
          <w:sz w:val="24"/>
          <w:szCs w:val="24"/>
        </w:rPr>
        <w:t>Zillow D</w:t>
      </w:r>
      <w:r w:rsidR="002B437B">
        <w:rPr>
          <w:sz w:val="24"/>
          <w:szCs w:val="24"/>
        </w:rPr>
        <w:t>ata</w:t>
      </w:r>
      <w:r>
        <w:rPr>
          <w:sz w:val="24"/>
          <w:szCs w:val="24"/>
        </w:rPr>
        <w:t xml:space="preserve"> </w:t>
      </w:r>
    </w:p>
    <w:p w:rsidR="002B437B" w:rsidRDefault="002B437B" w:rsidP="002B437B">
      <w:pPr>
        <w:pStyle w:val="ListParagraph"/>
        <w:numPr>
          <w:ilvl w:val="1"/>
          <w:numId w:val="1"/>
        </w:numPr>
        <w:rPr>
          <w:sz w:val="24"/>
          <w:szCs w:val="24"/>
        </w:rPr>
      </w:pPr>
      <w:r>
        <w:rPr>
          <w:sz w:val="24"/>
          <w:szCs w:val="24"/>
        </w:rPr>
        <w:t xml:space="preserve">Estimated median home values (per sq. ft and median </w:t>
      </w:r>
      <w:r w:rsidR="00B039AC">
        <w:rPr>
          <w:sz w:val="24"/>
          <w:szCs w:val="24"/>
        </w:rPr>
        <w:t>value)</w:t>
      </w:r>
    </w:p>
    <w:p w:rsidR="00B039AC" w:rsidRDefault="00B039AC" w:rsidP="002B437B">
      <w:pPr>
        <w:pStyle w:val="ListParagraph"/>
        <w:numPr>
          <w:ilvl w:val="1"/>
          <w:numId w:val="1"/>
        </w:numPr>
        <w:rPr>
          <w:sz w:val="24"/>
          <w:szCs w:val="24"/>
        </w:rPr>
      </w:pPr>
      <w:r>
        <w:rPr>
          <w:sz w:val="24"/>
          <w:szCs w:val="24"/>
        </w:rPr>
        <w:t>Estimated rental income (per sq. ft. and median value)</w:t>
      </w:r>
    </w:p>
    <w:p w:rsidR="00B039AC" w:rsidRDefault="00B039AC" w:rsidP="002B437B">
      <w:pPr>
        <w:pStyle w:val="ListParagraph"/>
        <w:numPr>
          <w:ilvl w:val="1"/>
          <w:numId w:val="1"/>
        </w:numPr>
        <w:rPr>
          <w:sz w:val="24"/>
          <w:szCs w:val="24"/>
        </w:rPr>
      </w:pPr>
      <w:r>
        <w:rPr>
          <w:sz w:val="24"/>
          <w:szCs w:val="24"/>
        </w:rPr>
        <w:t>Price-to-rent ratios</w:t>
      </w:r>
    </w:p>
    <w:p w:rsidR="00B039AC" w:rsidRDefault="00B039AC" w:rsidP="002B437B">
      <w:pPr>
        <w:pStyle w:val="ListParagraph"/>
        <w:numPr>
          <w:ilvl w:val="1"/>
          <w:numId w:val="1"/>
        </w:numPr>
        <w:rPr>
          <w:sz w:val="24"/>
          <w:szCs w:val="24"/>
        </w:rPr>
      </w:pPr>
      <w:r>
        <w:rPr>
          <w:sz w:val="24"/>
          <w:szCs w:val="24"/>
        </w:rPr>
        <w:t>Interest Rates</w:t>
      </w:r>
    </w:p>
    <w:p w:rsidR="00B039AC" w:rsidRPr="00B039AC" w:rsidRDefault="00B039AC" w:rsidP="00B039AC">
      <w:pPr>
        <w:rPr>
          <w:i/>
          <w:sz w:val="24"/>
          <w:szCs w:val="24"/>
        </w:rPr>
      </w:pPr>
      <w:r w:rsidRPr="00B039AC">
        <w:rPr>
          <w:i/>
          <w:sz w:val="24"/>
          <w:szCs w:val="24"/>
        </w:rPr>
        <w:t>Wrangling/Cleaning Process</w:t>
      </w:r>
    </w:p>
    <w:p w:rsidR="0091371E" w:rsidRPr="00406A82" w:rsidRDefault="00B039AC" w:rsidP="00406A82">
      <w:pPr>
        <w:pStyle w:val="NoSpacing"/>
        <w:rPr>
          <w:sz w:val="24"/>
          <w:szCs w:val="24"/>
        </w:rPr>
      </w:pPr>
      <w:r w:rsidRPr="00406A82">
        <w:rPr>
          <w:sz w:val="24"/>
          <w:szCs w:val="24"/>
        </w:rPr>
        <w:t>The data</w:t>
      </w:r>
      <w:r w:rsidR="0091371E" w:rsidRPr="00406A82">
        <w:rPr>
          <w:sz w:val="24"/>
          <w:szCs w:val="24"/>
        </w:rPr>
        <w:t xml:space="preserve"> was relatively clean and was acquired across six csv files that can be downloaded directly from Zillow’s Data page.</w:t>
      </w:r>
      <w:r w:rsidRPr="00406A82">
        <w:rPr>
          <w:sz w:val="24"/>
          <w:szCs w:val="24"/>
        </w:rPr>
        <w:t xml:space="preserve"> </w:t>
      </w:r>
      <w:r w:rsidR="0091371E" w:rsidRPr="00406A82">
        <w:rPr>
          <w:sz w:val="24"/>
          <w:szCs w:val="24"/>
        </w:rPr>
        <w:t>All csv files were loaded into Python via a for loop where I modified column names, performed moderate string formatting, and created a list of dataframes that were subsequently merged. The loop structure will allow for efficient loading of additional csv files in the future.</w:t>
      </w:r>
      <w:r w:rsidR="00406A82">
        <w:rPr>
          <w:sz w:val="24"/>
          <w:szCs w:val="24"/>
        </w:rPr>
        <w:t xml:space="preserve"> The one exception was the interest rate data, which was loaded separately given its different date frequency.</w:t>
      </w:r>
    </w:p>
    <w:p w:rsidR="0091371E" w:rsidRPr="00406A82" w:rsidRDefault="0091371E" w:rsidP="00406A82">
      <w:pPr>
        <w:pStyle w:val="NoSpacing"/>
        <w:rPr>
          <w:sz w:val="24"/>
          <w:szCs w:val="24"/>
        </w:rPr>
      </w:pPr>
    </w:p>
    <w:p w:rsidR="00B039AC" w:rsidRDefault="00406A82" w:rsidP="00406A82">
      <w:pPr>
        <w:pStyle w:val="NoSpacing"/>
        <w:rPr>
          <w:sz w:val="24"/>
          <w:szCs w:val="24"/>
        </w:rPr>
      </w:pPr>
      <w:r w:rsidRPr="00406A82">
        <w:rPr>
          <w:sz w:val="24"/>
          <w:szCs w:val="24"/>
        </w:rPr>
        <w:t>I lost about 46% of the original dataset, which sounds alarmingly high, but the majority of the loss can be explained. The median value data pertained to all regions and since the analysis is focusing on rental markets, a majority of neighborhoods don’t have an active rental market. Secondly, the rental value data began in October 2011 versus 1996 for the median value data, so a large portion was lost there. The remaining 4% was lost due to insufficient tax data and lack of a full 91 month dataset for a given neighborhood - a percentage I felt acceptable to avoid introducing bias into the dataset. The majority of the nan’s were handled in the aforementioned filtering with the exc</w:t>
      </w:r>
      <w:r>
        <w:rPr>
          <w:sz w:val="24"/>
          <w:szCs w:val="24"/>
        </w:rPr>
        <w:t>eption of some interest rate data</w:t>
      </w:r>
      <w:r w:rsidR="009216B1">
        <w:rPr>
          <w:sz w:val="24"/>
          <w:szCs w:val="24"/>
        </w:rPr>
        <w:t xml:space="preserve"> having an occasional</w:t>
      </w:r>
      <w:r w:rsidRPr="00406A82">
        <w:rPr>
          <w:sz w:val="24"/>
          <w:szCs w:val="24"/>
        </w:rPr>
        <w:t xml:space="preserve"> day gap where I filled using ffill() and bfill(). The wrangling exercise was a bit tricky, but I managed to match all counties with a robust data set that sp</w:t>
      </w:r>
      <w:r w:rsidR="009216B1">
        <w:rPr>
          <w:sz w:val="24"/>
          <w:szCs w:val="24"/>
        </w:rPr>
        <w:t>anned from 2011-10-31 to 2019-05</w:t>
      </w:r>
      <w:r w:rsidRPr="00406A82">
        <w:rPr>
          <w:sz w:val="24"/>
          <w:szCs w:val="24"/>
        </w:rPr>
        <w:t>-30, amounting to ~470,000 rows.</w:t>
      </w:r>
    </w:p>
    <w:p w:rsidR="00406A82" w:rsidRDefault="00406A82" w:rsidP="00406A82">
      <w:pPr>
        <w:pStyle w:val="NoSpacing"/>
        <w:rPr>
          <w:sz w:val="24"/>
          <w:szCs w:val="24"/>
        </w:rPr>
      </w:pPr>
    </w:p>
    <w:p w:rsidR="00B039AC" w:rsidRDefault="00B039AC" w:rsidP="00B039AC">
      <w:pPr>
        <w:pStyle w:val="ListParagraph"/>
        <w:numPr>
          <w:ilvl w:val="0"/>
          <w:numId w:val="1"/>
        </w:numPr>
        <w:rPr>
          <w:sz w:val="24"/>
          <w:szCs w:val="24"/>
        </w:rPr>
      </w:pPr>
      <w:r>
        <w:rPr>
          <w:sz w:val="24"/>
          <w:szCs w:val="24"/>
        </w:rPr>
        <w:t>Property tax data (U.S. Census Bureau, NAHB, American Community Survey)</w:t>
      </w:r>
    </w:p>
    <w:p w:rsidR="00B039AC" w:rsidRDefault="00B039AC" w:rsidP="00B039AC">
      <w:pPr>
        <w:pStyle w:val="ListParagraph"/>
        <w:numPr>
          <w:ilvl w:val="1"/>
          <w:numId w:val="1"/>
        </w:numPr>
        <w:rPr>
          <w:sz w:val="24"/>
          <w:szCs w:val="24"/>
        </w:rPr>
      </w:pPr>
      <w:r>
        <w:rPr>
          <w:sz w:val="24"/>
          <w:szCs w:val="24"/>
        </w:rPr>
        <w:lastRenderedPageBreak/>
        <w:t>Property tax data for all counties within all 50 states.</w:t>
      </w:r>
    </w:p>
    <w:p w:rsidR="00406A82" w:rsidRPr="00406A82" w:rsidRDefault="00406A82" w:rsidP="00406A82">
      <w:pPr>
        <w:rPr>
          <w:i/>
          <w:sz w:val="24"/>
          <w:szCs w:val="24"/>
        </w:rPr>
      </w:pPr>
      <w:r w:rsidRPr="00406A82">
        <w:rPr>
          <w:i/>
          <w:sz w:val="24"/>
          <w:szCs w:val="24"/>
        </w:rPr>
        <w:t>Wrangling/Cleaning Process</w:t>
      </w:r>
    </w:p>
    <w:p w:rsidR="00406A82" w:rsidRDefault="00406A82" w:rsidP="00B039AC">
      <w:pPr>
        <w:rPr>
          <w:sz w:val="24"/>
          <w:szCs w:val="24"/>
        </w:rPr>
      </w:pPr>
      <w:r w:rsidRPr="00406A82">
        <w:rPr>
          <w:sz w:val="24"/>
          <w:szCs w:val="24"/>
        </w:rPr>
        <w:t>The county real estate tax data was in xls format with 50 sheets (one for each state labeled using state abbreviation). I created a list of unique states and looped through that list loading each sheet as a separate dataframe in a list. I then concatenated those d</w:t>
      </w:r>
      <w:r>
        <w:rPr>
          <w:sz w:val="24"/>
          <w:szCs w:val="24"/>
        </w:rPr>
        <w:t>ata</w:t>
      </w:r>
      <w:r w:rsidRPr="00406A82">
        <w:rPr>
          <w:sz w:val="24"/>
          <w:szCs w:val="24"/>
        </w:rPr>
        <w:t>f</w:t>
      </w:r>
      <w:r>
        <w:rPr>
          <w:sz w:val="24"/>
          <w:szCs w:val="24"/>
        </w:rPr>
        <w:t>rames</w:t>
      </w:r>
      <w:r w:rsidRPr="00406A82">
        <w:rPr>
          <w:sz w:val="24"/>
          <w:szCs w:val="24"/>
        </w:rPr>
        <w:t xml:space="preserve"> and merged with the rental data on state abbreviations and county name. </w:t>
      </w:r>
    </w:p>
    <w:p w:rsidR="00406A82" w:rsidRDefault="00406A82" w:rsidP="00406A82">
      <w:pPr>
        <w:pStyle w:val="ListParagraph"/>
        <w:numPr>
          <w:ilvl w:val="0"/>
          <w:numId w:val="1"/>
        </w:numPr>
        <w:rPr>
          <w:sz w:val="24"/>
          <w:szCs w:val="24"/>
        </w:rPr>
      </w:pPr>
      <w:r>
        <w:rPr>
          <w:sz w:val="24"/>
          <w:szCs w:val="24"/>
        </w:rPr>
        <w:t>Insurance data (</w:t>
      </w:r>
      <w:r w:rsidR="00DF387D">
        <w:rPr>
          <w:sz w:val="24"/>
          <w:szCs w:val="24"/>
        </w:rPr>
        <w:t>Value Penguin)</w:t>
      </w:r>
    </w:p>
    <w:p w:rsidR="00DF387D" w:rsidRDefault="00DF387D" w:rsidP="00DF387D">
      <w:pPr>
        <w:pStyle w:val="ListParagraph"/>
        <w:numPr>
          <w:ilvl w:val="1"/>
          <w:numId w:val="1"/>
        </w:numPr>
        <w:rPr>
          <w:sz w:val="24"/>
          <w:szCs w:val="24"/>
        </w:rPr>
      </w:pPr>
      <w:r>
        <w:rPr>
          <w:sz w:val="24"/>
          <w:szCs w:val="24"/>
        </w:rPr>
        <w:t>Average monthly insurance amounts by state</w:t>
      </w:r>
    </w:p>
    <w:p w:rsidR="00DF387D" w:rsidRDefault="00DF387D" w:rsidP="00DF387D">
      <w:pPr>
        <w:rPr>
          <w:i/>
          <w:sz w:val="24"/>
          <w:szCs w:val="24"/>
        </w:rPr>
      </w:pPr>
      <w:r w:rsidRPr="00406A82">
        <w:rPr>
          <w:i/>
          <w:sz w:val="24"/>
          <w:szCs w:val="24"/>
        </w:rPr>
        <w:t>Wrangling/Cleaning Process</w:t>
      </w:r>
    </w:p>
    <w:p w:rsidR="00DF387D" w:rsidRPr="00DF387D" w:rsidRDefault="00DF387D" w:rsidP="00DF387D">
      <w:pPr>
        <w:rPr>
          <w:sz w:val="24"/>
          <w:szCs w:val="24"/>
        </w:rPr>
      </w:pPr>
      <w:r>
        <w:rPr>
          <w:sz w:val="24"/>
          <w:szCs w:val="24"/>
        </w:rPr>
        <w:t>The insurance data was copied into a csv file and loaded into Python. Little cleaning was required.</w:t>
      </w:r>
    </w:p>
    <w:p w:rsidR="00B039AC" w:rsidRPr="00406A82" w:rsidRDefault="00406A82" w:rsidP="00B039AC">
      <w:pPr>
        <w:rPr>
          <w:sz w:val="24"/>
          <w:szCs w:val="24"/>
          <w:u w:val="single"/>
        </w:rPr>
      </w:pPr>
      <w:r w:rsidRPr="00406A82">
        <w:rPr>
          <w:sz w:val="24"/>
          <w:szCs w:val="24"/>
          <w:u w:val="single"/>
        </w:rPr>
        <w:t>Processing</w:t>
      </w:r>
    </w:p>
    <w:p w:rsidR="00797E69" w:rsidRDefault="004749F4" w:rsidP="00DF387D">
      <w:r>
        <w:t xml:space="preserve"> </w:t>
      </w:r>
      <w:r w:rsidR="00DF387D">
        <w:t>After all the data was wrangled and cleaned, each dataset was merged into one large dataset, which was then ready for the processing stage. Processing for this project requires a large time investment due to the domain specific knowledge required to get accurate calculations given inputs. Let’s breakdown the domain specific processing components to better under</w:t>
      </w:r>
      <w:r w:rsidR="009216B1">
        <w:t>stand the process:</w:t>
      </w:r>
    </w:p>
    <w:tbl>
      <w:tblPr>
        <w:tblW w:w="0" w:type="auto"/>
        <w:tblLook w:val="04A0"/>
      </w:tblPr>
      <w:tblGrid>
        <w:gridCol w:w="328"/>
        <w:gridCol w:w="1904"/>
        <w:gridCol w:w="5709"/>
        <w:gridCol w:w="3075"/>
      </w:tblGrid>
      <w:tr w:rsidR="00DE71CA" w:rsidRPr="00DE71CA" w:rsidTr="00195667">
        <w:trPr>
          <w:trHeight w:val="290"/>
        </w:trPr>
        <w:tc>
          <w:tcPr>
            <w:tcW w:w="0" w:type="auto"/>
            <w:gridSpan w:val="4"/>
            <w:tcBorders>
              <w:top w:val="single" w:sz="4" w:space="0" w:color="auto"/>
              <w:left w:val="single" w:sz="4" w:space="0" w:color="auto"/>
              <w:bottom w:val="single" w:sz="4" w:space="0" w:color="auto"/>
              <w:right w:val="single" w:sz="4" w:space="0" w:color="000000"/>
            </w:tcBorders>
            <w:shd w:val="clear" w:color="000000" w:fill="C5D9F1"/>
            <w:noWrap/>
            <w:vAlign w:val="bottom"/>
            <w:hideMark/>
          </w:tcPr>
          <w:p w:rsidR="00DE71CA" w:rsidRPr="00DE71CA" w:rsidRDefault="00DE71CA" w:rsidP="00DE71CA">
            <w:pPr>
              <w:spacing w:after="0" w:line="240" w:lineRule="auto"/>
              <w:jc w:val="center"/>
              <w:rPr>
                <w:rFonts w:ascii="Calibri" w:eastAsia="Times New Roman" w:hAnsi="Calibri" w:cs="Calibri"/>
                <w:b/>
                <w:bCs/>
                <w:color w:val="000000"/>
              </w:rPr>
            </w:pPr>
            <w:r w:rsidRPr="00DE71CA">
              <w:rPr>
                <w:rFonts w:ascii="Calibri" w:eastAsia="Times New Roman" w:hAnsi="Calibri" w:cs="Calibri"/>
                <w:b/>
                <w:bCs/>
                <w:color w:val="000000"/>
              </w:rPr>
              <w:t>Net Cash Flow</w:t>
            </w:r>
          </w:p>
        </w:tc>
      </w:tr>
      <w:tr w:rsidR="00DE71CA" w:rsidRPr="00DE71CA" w:rsidTr="00195667">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center"/>
              <w:rPr>
                <w:rFonts w:ascii="Calibri" w:eastAsia="Times New Roman" w:hAnsi="Calibri" w:cs="Calibri"/>
                <w:b/>
                <w:bCs/>
                <w:color w:val="000000"/>
              </w:rPr>
            </w:pPr>
            <w:r w:rsidRPr="00DE71CA">
              <w:rPr>
                <w:rFonts w:ascii="Calibri" w:eastAsia="Times New Roman" w:hAnsi="Calibri" w:cs="Calibri"/>
                <w:b/>
                <w:bCs/>
                <w:color w:val="000000"/>
              </w:rPr>
              <w:t>Component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center"/>
              <w:rPr>
                <w:rFonts w:ascii="Calibri" w:eastAsia="Times New Roman" w:hAnsi="Calibri" w:cs="Calibri"/>
                <w:b/>
                <w:bCs/>
                <w:color w:val="000000"/>
              </w:rPr>
            </w:pPr>
            <w:r w:rsidRPr="00DE71CA">
              <w:rPr>
                <w:rFonts w:ascii="Calibri" w:eastAsia="Times New Roman" w:hAnsi="Calibri" w:cs="Calibri"/>
                <w:b/>
                <w:bCs/>
                <w:color w:val="000000"/>
              </w:rPr>
              <w:t>Assumption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center"/>
              <w:rPr>
                <w:rFonts w:ascii="Calibri" w:eastAsia="Times New Roman" w:hAnsi="Calibri" w:cs="Calibri"/>
                <w:b/>
                <w:bCs/>
                <w:color w:val="000000"/>
              </w:rPr>
            </w:pPr>
            <w:r w:rsidRPr="00DE71CA">
              <w:rPr>
                <w:rFonts w:ascii="Calibri" w:eastAsia="Times New Roman" w:hAnsi="Calibri" w:cs="Calibri"/>
                <w:b/>
                <w:bCs/>
                <w:color w:val="000000"/>
              </w:rPr>
              <w:t>Notes</w:t>
            </w:r>
          </w:p>
        </w:tc>
      </w:tr>
      <w:tr w:rsidR="00DE71CA" w:rsidRPr="00DE71CA" w:rsidTr="00195667">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Gross Rent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Zillow Estimate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w:t>
            </w:r>
          </w:p>
        </w:tc>
      </w:tr>
      <w:tr w:rsidR="00DE71CA" w:rsidRPr="00DE71CA" w:rsidTr="0019566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right"/>
              <w:rPr>
                <w:rFonts w:ascii="Calibri" w:eastAsia="Times New Roman" w:hAnsi="Calibri" w:cs="Calibri"/>
                <w:color w:val="000000"/>
              </w:rPr>
            </w:pPr>
            <w:r w:rsidRPr="00DE71CA">
              <w:rPr>
                <w:rFonts w:ascii="Calibri" w:eastAsia="Times New Roman" w:hAnsi="Calibri" w:cs="Calibri"/>
                <w:color w:val="000000"/>
              </w:rPr>
              <w:t xml:space="preserve"> -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Vacancy (months)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One month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Flexible</w:t>
            </w:r>
          </w:p>
        </w:tc>
      </w:tr>
      <w:tr w:rsidR="00DE71CA" w:rsidRPr="00DE71CA" w:rsidTr="00195667">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right"/>
              <w:rPr>
                <w:rFonts w:ascii="Calibri" w:eastAsia="Times New Roman" w:hAnsi="Calibri" w:cs="Calibri"/>
                <w:color w:val="000000"/>
              </w:rPr>
            </w:pPr>
            <w:r w:rsidRPr="00DE71CA">
              <w:rPr>
                <w:rFonts w:ascii="Calibri" w:eastAsia="Times New Roman" w:hAnsi="Calibri" w:cs="Calibri"/>
                <w:color w:val="00000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Gross Rent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w:t>
            </w:r>
          </w:p>
        </w:tc>
      </w:tr>
      <w:tr w:rsidR="00DE71CA" w:rsidRPr="00DE71CA" w:rsidTr="00195667">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right"/>
              <w:rPr>
                <w:rFonts w:ascii="Calibri" w:eastAsia="Times New Roman" w:hAnsi="Calibri" w:cs="Calibri"/>
                <w:color w:val="000000"/>
              </w:rPr>
            </w:pPr>
            <w:r w:rsidRPr="00DE71CA">
              <w:rPr>
                <w:rFonts w:ascii="Calibri" w:eastAsia="Times New Roman" w:hAnsi="Calibri" w:cs="Calibri"/>
                <w:color w:val="000000"/>
              </w:rPr>
              <w:t xml:space="preserve"> -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Management Fees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8% of monthly rent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Flexible</w:t>
            </w:r>
          </w:p>
        </w:tc>
      </w:tr>
      <w:tr w:rsidR="00DE71CA" w:rsidRPr="00DE71CA" w:rsidTr="00195667">
        <w:trPr>
          <w:trHeight w:val="8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right"/>
              <w:rPr>
                <w:rFonts w:ascii="Calibri" w:eastAsia="Times New Roman" w:hAnsi="Calibri" w:cs="Calibri"/>
                <w:color w:val="000000"/>
              </w:rPr>
            </w:pPr>
            <w:r w:rsidRPr="00DE71CA">
              <w:rPr>
                <w:rFonts w:ascii="Calibri" w:eastAsia="Times New Roman" w:hAnsi="Calibri" w:cs="Calibri"/>
                <w:color w:val="000000"/>
              </w:rPr>
              <w:t xml:space="preserve"> -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Operating Expenses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$250/month (Capital Expenditures = $200, Maintenance = $50)</w:t>
            </w:r>
            <w:r w:rsidRPr="00DE71CA">
              <w:rPr>
                <w:rFonts w:ascii="Calibri" w:eastAsia="Times New Roman" w:hAnsi="Calibri" w:cs="Calibri"/>
                <w:color w:val="000000"/>
              </w:rPr>
              <w:br/>
              <w:t>- Adjusted by value ( * 250)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Flexible monthly amount</w:t>
            </w:r>
          </w:p>
        </w:tc>
      </w:tr>
      <w:tr w:rsidR="00DE71CA" w:rsidRPr="00DE71CA" w:rsidTr="00195667">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right"/>
              <w:rPr>
                <w:rFonts w:ascii="Calibri" w:eastAsia="Times New Roman" w:hAnsi="Calibri" w:cs="Calibri"/>
                <w:color w:val="000000"/>
              </w:rPr>
            </w:pPr>
            <w:r w:rsidRPr="00DE71CA">
              <w:rPr>
                <w:rFonts w:ascii="Calibri" w:eastAsia="Times New Roman" w:hAnsi="Calibri" w:cs="Calibri"/>
                <w:color w:val="000000"/>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Taxes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(Zillow Estimate * Multiplier @ 80%) * (County Avg/12)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Flexible multiplier</w:t>
            </w:r>
          </w:p>
        </w:tc>
      </w:tr>
      <w:tr w:rsidR="00DE71CA" w:rsidRPr="00DE71CA" w:rsidTr="00195667">
        <w:trPr>
          <w:trHeight w:val="8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right"/>
              <w:rPr>
                <w:rFonts w:ascii="Calibri" w:eastAsia="Times New Roman" w:hAnsi="Calibri" w:cs="Calibri"/>
                <w:color w:val="000000"/>
              </w:rPr>
            </w:pPr>
            <w:r w:rsidRPr="00DE71CA">
              <w:rPr>
                <w:rFonts w:ascii="Calibri" w:eastAsia="Times New Roman" w:hAnsi="Calibri" w:cs="Calibri"/>
                <w:color w:val="000000"/>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Interest Payment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Zillow estimate on given date = purchase price</w:t>
            </w:r>
            <w:r w:rsidRPr="00DE71CA">
              <w:rPr>
                <w:rFonts w:ascii="Calibri" w:eastAsia="Times New Roman" w:hAnsi="Calibri" w:cs="Calibri"/>
                <w:color w:val="000000"/>
              </w:rPr>
              <w:br/>
              <w:t>- 30 year interest rates (equal to monthly average)</w:t>
            </w:r>
            <w:r w:rsidRPr="00DE71CA">
              <w:rPr>
                <w:rFonts w:ascii="Calibri" w:eastAsia="Times New Roman" w:hAnsi="Calibri" w:cs="Calibri"/>
                <w:color w:val="000000"/>
              </w:rPr>
              <w:br/>
              <w:t>- 20% down payment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Function creates amortization table for each region given purchase date</w:t>
            </w:r>
            <w:r w:rsidRPr="00DE71CA">
              <w:rPr>
                <w:rFonts w:ascii="Calibri" w:eastAsia="Times New Roman" w:hAnsi="Calibri" w:cs="Calibri"/>
                <w:color w:val="000000"/>
              </w:rPr>
              <w:br/>
              <w:t>- Flexible down payment amount</w:t>
            </w:r>
          </w:p>
        </w:tc>
      </w:tr>
      <w:tr w:rsidR="00DE71CA" w:rsidRPr="00DE71CA" w:rsidTr="0019566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right"/>
              <w:rPr>
                <w:rFonts w:ascii="Calibri" w:eastAsia="Times New Roman" w:hAnsi="Calibri" w:cs="Calibri"/>
                <w:color w:val="000000"/>
              </w:rPr>
            </w:pPr>
            <w:r w:rsidRPr="00DE71CA">
              <w:rPr>
                <w:rFonts w:ascii="Calibri" w:eastAsia="Times New Roman" w:hAnsi="Calibri" w:cs="Calibri"/>
                <w:color w:val="000000"/>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xml:space="preserve">Insurance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(Region Median Value / Statewide Average) * Statewide average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Update Insurance data as needed</w:t>
            </w:r>
          </w:p>
        </w:tc>
      </w:tr>
      <w:tr w:rsidR="00DE71CA" w:rsidRPr="00DE71CA" w:rsidTr="00195667">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right"/>
              <w:rPr>
                <w:rFonts w:ascii="Calibri" w:eastAsia="Times New Roman" w:hAnsi="Calibri" w:cs="Calibri"/>
                <w:color w:val="000000"/>
              </w:rPr>
            </w:pPr>
            <w:r w:rsidRPr="00DE71CA">
              <w:rPr>
                <w:rFonts w:ascii="Calibri" w:eastAsia="Times New Roman" w:hAnsi="Calibri" w:cs="Calibri"/>
                <w:color w:val="00000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Net Cash Flow</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w:t>
            </w:r>
          </w:p>
        </w:tc>
      </w:tr>
    </w:tbl>
    <w:p w:rsidR="00DE71CA" w:rsidRDefault="00DE71CA" w:rsidP="00DF387D"/>
    <w:tbl>
      <w:tblPr>
        <w:tblW w:w="0" w:type="auto"/>
        <w:tblInd w:w="100" w:type="dxa"/>
        <w:tblLook w:val="04A0"/>
      </w:tblPr>
      <w:tblGrid>
        <w:gridCol w:w="326"/>
        <w:gridCol w:w="2092"/>
        <w:gridCol w:w="4396"/>
        <w:gridCol w:w="4102"/>
      </w:tblGrid>
      <w:tr w:rsidR="00DE71CA" w:rsidRPr="00DE71CA" w:rsidTr="00195667">
        <w:trPr>
          <w:trHeight w:val="290"/>
        </w:trPr>
        <w:tc>
          <w:tcPr>
            <w:tcW w:w="0" w:type="auto"/>
            <w:gridSpan w:val="4"/>
            <w:tcBorders>
              <w:top w:val="single" w:sz="4" w:space="0" w:color="auto"/>
              <w:left w:val="single" w:sz="4" w:space="0" w:color="auto"/>
              <w:bottom w:val="single" w:sz="4" w:space="0" w:color="auto"/>
              <w:right w:val="single" w:sz="4" w:space="0" w:color="000000"/>
            </w:tcBorders>
            <w:shd w:val="clear" w:color="000000" w:fill="C5D9F1"/>
            <w:noWrap/>
            <w:vAlign w:val="bottom"/>
            <w:hideMark/>
          </w:tcPr>
          <w:p w:rsidR="00DE71CA" w:rsidRPr="00DE71CA" w:rsidRDefault="00DE71CA" w:rsidP="00DE71CA">
            <w:pPr>
              <w:spacing w:after="0" w:line="240" w:lineRule="auto"/>
              <w:jc w:val="center"/>
              <w:rPr>
                <w:rFonts w:ascii="Calibri" w:eastAsia="Times New Roman" w:hAnsi="Calibri" w:cs="Calibri"/>
                <w:b/>
                <w:bCs/>
                <w:color w:val="000000"/>
              </w:rPr>
            </w:pPr>
            <w:r w:rsidRPr="00DE71CA">
              <w:rPr>
                <w:rFonts w:ascii="Calibri" w:eastAsia="Times New Roman" w:hAnsi="Calibri" w:cs="Calibri"/>
                <w:b/>
                <w:bCs/>
                <w:color w:val="000000"/>
              </w:rPr>
              <w:t>After-Tax Sale Proceeds</w:t>
            </w:r>
          </w:p>
        </w:tc>
      </w:tr>
      <w:tr w:rsidR="00DE71CA" w:rsidRPr="00DE71CA" w:rsidTr="00195667">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center"/>
              <w:rPr>
                <w:rFonts w:ascii="Calibri" w:eastAsia="Times New Roman" w:hAnsi="Calibri" w:cs="Calibri"/>
                <w:b/>
                <w:bCs/>
                <w:color w:val="000000"/>
              </w:rPr>
            </w:pPr>
            <w:r w:rsidRPr="00DE71CA">
              <w:rPr>
                <w:rFonts w:ascii="Calibri" w:eastAsia="Times New Roman" w:hAnsi="Calibri" w:cs="Calibri"/>
                <w:b/>
                <w:bCs/>
                <w:color w:val="000000"/>
              </w:rPr>
              <w:t>Component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center"/>
              <w:rPr>
                <w:rFonts w:ascii="Calibri" w:eastAsia="Times New Roman" w:hAnsi="Calibri" w:cs="Calibri"/>
                <w:b/>
                <w:bCs/>
                <w:color w:val="000000"/>
              </w:rPr>
            </w:pPr>
            <w:r w:rsidRPr="00DE71CA">
              <w:rPr>
                <w:rFonts w:ascii="Calibri" w:eastAsia="Times New Roman" w:hAnsi="Calibri" w:cs="Calibri"/>
                <w:b/>
                <w:bCs/>
                <w:color w:val="000000"/>
              </w:rPr>
              <w:t>Assumption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center"/>
              <w:rPr>
                <w:rFonts w:ascii="Calibri" w:eastAsia="Times New Roman" w:hAnsi="Calibri" w:cs="Calibri"/>
                <w:b/>
                <w:bCs/>
                <w:color w:val="000000"/>
              </w:rPr>
            </w:pPr>
            <w:r w:rsidRPr="00DE71CA">
              <w:rPr>
                <w:rFonts w:ascii="Calibri" w:eastAsia="Times New Roman" w:hAnsi="Calibri" w:cs="Calibri"/>
                <w:b/>
                <w:bCs/>
                <w:color w:val="000000"/>
              </w:rPr>
              <w:t>Notes</w:t>
            </w:r>
          </w:p>
        </w:tc>
      </w:tr>
      <w:tr w:rsidR="00DE71CA" w:rsidRPr="00DE71CA" w:rsidTr="00195667">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xml:space="preserve">Sale Price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Zillow Estimate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Specify sale date in function</w:t>
            </w:r>
          </w:p>
        </w:tc>
      </w:tr>
      <w:tr w:rsidR="00DE71CA" w:rsidRPr="00DE71CA" w:rsidTr="0019566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right"/>
              <w:rPr>
                <w:rFonts w:ascii="Calibri" w:eastAsia="Times New Roman" w:hAnsi="Calibri" w:cs="Calibri"/>
                <w:color w:val="000000"/>
              </w:rPr>
            </w:pPr>
            <w:r w:rsidRPr="00DE71CA">
              <w:rPr>
                <w:rFonts w:ascii="Calibri" w:eastAsia="Times New Roman" w:hAnsi="Calibri" w:cs="Calibri"/>
                <w:color w:val="000000"/>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Sales Commission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5% of sales price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Flexible</w:t>
            </w:r>
          </w:p>
        </w:tc>
      </w:tr>
      <w:tr w:rsidR="00DE71CA" w:rsidRPr="00DE71CA" w:rsidTr="00195667">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right"/>
              <w:rPr>
                <w:rFonts w:ascii="Calibri" w:eastAsia="Times New Roman" w:hAnsi="Calibri" w:cs="Calibri"/>
                <w:color w:val="000000"/>
              </w:rPr>
            </w:pPr>
            <w:r w:rsidRPr="00DE71CA">
              <w:rPr>
                <w:rFonts w:ascii="Calibri" w:eastAsia="Times New Roman" w:hAnsi="Calibri" w:cs="Calibri"/>
                <w:color w:val="00000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Gross Sales Proceeds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w:t>
            </w:r>
          </w:p>
        </w:tc>
      </w:tr>
      <w:tr w:rsidR="00DE71CA" w:rsidRPr="00DE71CA" w:rsidTr="00195667">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right"/>
              <w:rPr>
                <w:rFonts w:ascii="Calibri" w:eastAsia="Times New Roman" w:hAnsi="Calibri" w:cs="Calibri"/>
                <w:color w:val="000000"/>
              </w:rPr>
            </w:pPr>
            <w:r w:rsidRPr="00DE71CA">
              <w:rPr>
                <w:rFonts w:ascii="Calibri" w:eastAsia="Times New Roman" w:hAnsi="Calibri" w:cs="Calibri"/>
                <w:color w:val="000000"/>
              </w:rPr>
              <w:lastRenderedPageBreak/>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Mortgage Balance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30 year mortgage rates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w:t>
            </w:r>
          </w:p>
        </w:tc>
      </w:tr>
      <w:tr w:rsidR="00DE71CA" w:rsidRPr="00DE71CA" w:rsidTr="00195667">
        <w:trPr>
          <w:trHeight w:val="88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right"/>
              <w:rPr>
                <w:rFonts w:ascii="Calibri" w:eastAsia="Times New Roman" w:hAnsi="Calibri" w:cs="Calibri"/>
                <w:color w:val="000000"/>
              </w:rPr>
            </w:pPr>
            <w:r w:rsidRPr="00DE71CA">
              <w:rPr>
                <w:rFonts w:ascii="Calibri" w:eastAsia="Times New Roman" w:hAnsi="Calibri" w:cs="Calibri"/>
                <w:color w:val="000000"/>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Capital Gain Taxes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((Gross Sale Proceeds - (Purchase Price - Cumulative Depreciation)) + (Depreciation Recapture Rate * Cumulative Depreciation)) * Capital Gain Tax Rate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Depreciation Recapture Rate, Capital Gains Tax Rate, and Depreciation time (default = 27.5 years) are all flexible</w:t>
            </w:r>
          </w:p>
        </w:tc>
      </w:tr>
      <w:tr w:rsidR="00DE71CA" w:rsidRPr="00DE71CA" w:rsidTr="00195667">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jc w:val="right"/>
              <w:rPr>
                <w:rFonts w:ascii="Calibri" w:eastAsia="Times New Roman" w:hAnsi="Calibri" w:cs="Calibri"/>
                <w:color w:val="000000"/>
              </w:rPr>
            </w:pPr>
            <w:r w:rsidRPr="00DE71CA">
              <w:rPr>
                <w:rFonts w:ascii="Calibri" w:eastAsia="Times New Roman" w:hAnsi="Calibri" w:cs="Calibri"/>
                <w:color w:val="00000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After Tax Proceeds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1CA" w:rsidRPr="00DE71CA" w:rsidRDefault="00DE71CA" w:rsidP="00DE71CA">
            <w:pPr>
              <w:spacing w:after="0" w:line="240" w:lineRule="auto"/>
              <w:rPr>
                <w:rFonts w:ascii="Calibri" w:eastAsia="Times New Roman" w:hAnsi="Calibri" w:cs="Calibri"/>
                <w:color w:val="000000"/>
              </w:rPr>
            </w:pPr>
            <w:r w:rsidRPr="00DE71CA">
              <w:rPr>
                <w:rFonts w:ascii="Calibri" w:eastAsia="Times New Roman" w:hAnsi="Calibri" w:cs="Calibri"/>
                <w:color w:val="000000"/>
              </w:rPr>
              <w:t> </w:t>
            </w:r>
          </w:p>
        </w:tc>
      </w:tr>
    </w:tbl>
    <w:p w:rsidR="00DE71CA" w:rsidRDefault="00DE71CA" w:rsidP="00DF387D"/>
    <w:p w:rsidR="004C77FF" w:rsidRDefault="008450C2" w:rsidP="00DF387D">
      <w:r>
        <w:rPr>
          <w:noProof/>
        </w:rPr>
        <w:pict>
          <v:shapetype id="_x0000_t202" coordsize="21600,21600" o:spt="202" path="m,l,21600r21600,l21600,xe">
            <v:stroke joinstyle="miter"/>
            <v:path gradientshapeok="t" o:connecttype="rect"/>
          </v:shapetype>
          <v:shape id="_x0000_s1033" type="#_x0000_t202" style="position:absolute;margin-left:238.9pt;margin-top:13.4pt;width:221.85pt;height:122.05pt;z-index:251662336;mso-width-relative:margin;mso-height-relative:margin">
            <v:textbox>
              <w:txbxContent>
                <w:p w:rsidR="004C77FF" w:rsidRDefault="004C77FF" w:rsidP="004C77FF">
                  <w:r>
                    <w:t>We consider monthly net cash flows on rent and final after-tax sale proceeds (assuming a sale is desired). A custom function was built to provide flexibility with the IRR calculation.</w:t>
                  </w:r>
                </w:p>
                <w:p w:rsidR="004C77FF" w:rsidRPr="00797E69" w:rsidRDefault="004C77FF" w:rsidP="004C77FF"/>
              </w:txbxContent>
            </v:textbox>
          </v:shape>
        </w:pict>
      </w:r>
      <w:r w:rsidR="004C77FF" w:rsidRPr="004C77FF">
        <w:rPr>
          <w:noProof/>
        </w:rPr>
        <w:drawing>
          <wp:inline distT="0" distB="0" distL="0" distR="0">
            <wp:extent cx="2988427" cy="1601521"/>
            <wp:effectExtent l="19050" t="0" r="2423"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2989170" cy="1601919"/>
                    </a:xfrm>
                    <a:prstGeom prst="rect">
                      <a:avLst/>
                    </a:prstGeom>
                    <a:noFill/>
                    <a:ln w="9525">
                      <a:noFill/>
                      <a:miter lim="800000"/>
                      <a:headEnd/>
                      <a:tailEnd/>
                    </a:ln>
                  </pic:spPr>
                </pic:pic>
              </a:graphicData>
            </a:graphic>
          </wp:inline>
        </w:drawing>
      </w:r>
    </w:p>
    <w:p w:rsidR="00DF387D" w:rsidRDefault="003C4381" w:rsidP="00DF387D">
      <w:pPr>
        <w:pStyle w:val="NoSpacing"/>
        <w:rPr>
          <w:b/>
          <w:u w:val="single"/>
        </w:rPr>
      </w:pPr>
      <w:r w:rsidRPr="003C4381">
        <w:rPr>
          <w:b/>
          <w:u w:val="single"/>
        </w:rPr>
        <w:t>Exploratory Data Analysis</w:t>
      </w:r>
    </w:p>
    <w:p w:rsidR="00F97524" w:rsidRDefault="00F97524" w:rsidP="00DF387D">
      <w:pPr>
        <w:pStyle w:val="NoSpacing"/>
        <w:rPr>
          <w:b/>
          <w:u w:val="single"/>
        </w:rPr>
      </w:pPr>
      <w:r>
        <w:rPr>
          <w:b/>
          <w:u w:val="single"/>
        </w:rPr>
        <w:t xml:space="preserve"> </w:t>
      </w:r>
    </w:p>
    <w:p w:rsidR="00F97524" w:rsidRDefault="00F97524" w:rsidP="00DF387D">
      <w:pPr>
        <w:pStyle w:val="NoSpacing"/>
      </w:pPr>
      <w:r>
        <w:t>The first area of focus for exploratory data analysis was on the price-to-rent ratio. This data point is provided by Zillow Data, which I’ve found to provide clean time-series data. The price-to-rent ratio provides a normalized way to compare properties across different geographies, which will explain a large portion of expected returns before expenses are considered. I looked at this ratio through various lenses that provided initial insights that will help aid in building a robust rental property model. We began by looking at the distribution of price-to-rent ratio</w:t>
      </w:r>
      <w:r w:rsidR="004C77FF">
        <w:t>s across all regions that had 91 months of data.</w:t>
      </w:r>
    </w:p>
    <w:p w:rsidR="004C77FF" w:rsidRDefault="004C77FF" w:rsidP="00DF387D">
      <w:pPr>
        <w:pStyle w:val="NoSpacing"/>
      </w:pPr>
    </w:p>
    <w:p w:rsidR="004C77FF" w:rsidRDefault="004C77FF" w:rsidP="004C77FF">
      <w:pPr>
        <w:pStyle w:val="NoSpacing"/>
        <w:jc w:val="center"/>
      </w:pPr>
      <w:r>
        <w:rPr>
          <w:noProof/>
        </w:rPr>
        <w:drawing>
          <wp:inline distT="0" distB="0" distL="0" distR="0">
            <wp:extent cx="6508603" cy="4030994"/>
            <wp:effectExtent l="19050" t="0" r="649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508561" cy="4030968"/>
                    </a:xfrm>
                    <a:prstGeom prst="rect">
                      <a:avLst/>
                    </a:prstGeom>
                    <a:noFill/>
                    <a:ln w="9525">
                      <a:noFill/>
                      <a:miter lim="800000"/>
                      <a:headEnd/>
                      <a:tailEnd/>
                    </a:ln>
                  </pic:spPr>
                </pic:pic>
              </a:graphicData>
            </a:graphic>
          </wp:inline>
        </w:drawing>
      </w:r>
    </w:p>
    <w:p w:rsidR="00F97524" w:rsidRDefault="00F97524" w:rsidP="00DF387D">
      <w:pPr>
        <w:pStyle w:val="NoSpacing"/>
      </w:pPr>
    </w:p>
    <w:p w:rsidR="004C77FF" w:rsidRDefault="00DC4EC0" w:rsidP="00DF387D">
      <w:pPr>
        <w:pStyle w:val="NoSpacing"/>
      </w:pPr>
      <w:r>
        <w:lastRenderedPageBreak/>
        <w:t>I then</w:t>
      </w:r>
      <w:r w:rsidR="004C77FF">
        <w:t xml:space="preserve"> partitioned the ratio across four different categories; Low (0-8.42), Average (8.42-20.3), High (20.3-32.18), and Luxury (&gt;32.18) to observe growth trends over time in each category.</w:t>
      </w:r>
    </w:p>
    <w:p w:rsidR="00F97524" w:rsidRDefault="00F97524" w:rsidP="00DF387D">
      <w:pPr>
        <w:pStyle w:val="NoSpacing"/>
      </w:pPr>
    </w:p>
    <w:p w:rsidR="00F97524" w:rsidRDefault="004C77FF" w:rsidP="00DF387D">
      <w:pPr>
        <w:pStyle w:val="NoSpacing"/>
      </w:pPr>
      <w:r>
        <w:rPr>
          <w:noProof/>
        </w:rPr>
        <w:drawing>
          <wp:inline distT="0" distB="0" distL="0" distR="0">
            <wp:extent cx="6771364" cy="366555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772462" cy="3666145"/>
                    </a:xfrm>
                    <a:prstGeom prst="rect">
                      <a:avLst/>
                    </a:prstGeom>
                    <a:noFill/>
                    <a:ln w="9525">
                      <a:noFill/>
                      <a:miter lim="800000"/>
                      <a:headEnd/>
                      <a:tailEnd/>
                    </a:ln>
                  </pic:spPr>
                </pic:pic>
              </a:graphicData>
            </a:graphic>
          </wp:inline>
        </w:drawing>
      </w:r>
    </w:p>
    <w:p w:rsidR="004C77FF" w:rsidRDefault="004C77FF" w:rsidP="00DF387D">
      <w:pPr>
        <w:pStyle w:val="NoSpacing"/>
      </w:pPr>
      <w:r>
        <w:t xml:space="preserve">It may be tempting to target the lowest price-to-rent </w:t>
      </w:r>
      <w:r w:rsidR="00C67B95">
        <w:t>ratios</w:t>
      </w:r>
      <w:r w:rsidR="00863F26">
        <w:t xml:space="preserve"> exclusively</w:t>
      </w:r>
      <w:r>
        <w:t xml:space="preserve">, but the data suggests that you could miss out on price appreciation over time as compared to average price-to-rent ratios.  </w:t>
      </w:r>
      <w:r w:rsidR="00863F26">
        <w:t xml:space="preserve">High and Luxury categories appear to provide mixed growth, but are unlikely to provide desirable cash flows over time given the high purchase prices and ceilings on rent that would be required to achieve desirable returns where no buyers exist (unless used as a vacation rental). </w:t>
      </w:r>
    </w:p>
    <w:p w:rsidR="00863F26" w:rsidRDefault="00863F26" w:rsidP="00DF387D">
      <w:pPr>
        <w:pStyle w:val="NoSpacing"/>
      </w:pPr>
    </w:p>
    <w:p w:rsidR="00863F26" w:rsidRDefault="00863F26" w:rsidP="00DF387D">
      <w:pPr>
        <w:pStyle w:val="NoSpacing"/>
      </w:pPr>
      <w:r>
        <w:t xml:space="preserve">Our initial EDA steps gave us some initial clues on where we might focus our attention, but the underlying goal is to understand the return drivers within regions and make them comparable. In order to do this, we must look deeper at our processed data </w:t>
      </w:r>
      <w:r w:rsidR="00C67B95">
        <w:t>point, which boils</w:t>
      </w:r>
      <w:r w:rsidR="009B1309">
        <w:t xml:space="preserve"> down to net cash flow. Below we show estimated mean monthly net cash flows (x-axis) versus one standard deviation differences within each state (46 total) to see if we can further focus our analysis.</w:t>
      </w:r>
    </w:p>
    <w:p w:rsidR="00863F26" w:rsidRPr="00F97524" w:rsidRDefault="00863F26" w:rsidP="00DF387D">
      <w:pPr>
        <w:pStyle w:val="NoSpacing"/>
      </w:pPr>
    </w:p>
    <w:p w:rsidR="009B1309" w:rsidRDefault="00DC4EC0" w:rsidP="00DC4EC0">
      <w:pPr>
        <w:jc w:val="center"/>
      </w:pPr>
      <w:r>
        <w:rPr>
          <w:noProof/>
        </w:rPr>
        <w:pict>
          <v:rect id="_x0000_s1031" style="position:absolute;left:0;text-align:left;margin-left:243.7pt;margin-top:6.8pt;width:254.7pt;height:218.1pt;z-index:251666432" o:regroupid="1" fillcolor="#c6d9f1 [671]" strokecolor="red">
            <v:fill opacity="0"/>
            <v:textbox style="mso-next-textbox:#_x0000_s1031">
              <w:txbxContent>
                <w:p w:rsidR="00F63B7A" w:rsidRDefault="00F63B7A"/>
              </w:txbxContent>
            </v:textbox>
          </v:rect>
        </w:pict>
      </w:r>
      <w:r>
        <w:rPr>
          <w:noProof/>
        </w:rPr>
        <w:pict>
          <v:shape id="_x0000_s1034" type="#_x0000_t202" style="position:absolute;left:0;text-align:left;margin-left:243.7pt;margin-top:9.3pt;width:198.7pt;height:51.65pt;z-index:251667456;mso-width-relative:margin;mso-height-relative:margin" o:regroupid="1">
            <v:textbox style="mso-next-textbox:#_x0000_s1034">
              <w:txbxContent>
                <w:p w:rsidR="009B1309" w:rsidRPr="00002D3F" w:rsidRDefault="00F31144">
                  <w:r w:rsidRPr="00DC4EC0">
                    <w:rPr>
                      <w:sz w:val="16"/>
                      <w:szCs w:val="16"/>
                    </w:rPr>
                    <w:t>L</w:t>
                  </w:r>
                  <w:r w:rsidR="009B1309" w:rsidRPr="00DC4EC0">
                    <w:rPr>
                      <w:sz w:val="16"/>
                      <w:szCs w:val="16"/>
                    </w:rPr>
                    <w:t xml:space="preserve">ook closer at these states to understand </w:t>
                  </w:r>
                  <w:r w:rsidR="00144F53" w:rsidRPr="00DC4EC0">
                    <w:rPr>
                      <w:b/>
                      <w:sz w:val="16"/>
                      <w:szCs w:val="16"/>
                    </w:rPr>
                    <w:t>whether the gaps betwe</w:t>
                  </w:r>
                  <w:r w:rsidR="00002D3F" w:rsidRPr="00DC4EC0">
                    <w:rPr>
                      <w:b/>
                      <w:sz w:val="16"/>
                      <w:szCs w:val="16"/>
                    </w:rPr>
                    <w:t xml:space="preserve">en these states are significant. </w:t>
                  </w:r>
                  <w:r w:rsidR="00002D3F" w:rsidRPr="00DC4EC0">
                    <w:rPr>
                      <w:sz w:val="16"/>
                      <w:szCs w:val="16"/>
                    </w:rPr>
                    <w:t>Where gaps are significant, we’ll look closer at particular regions within each state.</w:t>
                  </w:r>
                </w:p>
              </w:txbxContent>
            </v:textbox>
          </v:shape>
        </w:pict>
      </w:r>
      <w:r w:rsidR="00FC3E54">
        <w:rPr>
          <w:noProof/>
        </w:rPr>
        <w:drawing>
          <wp:inline distT="0" distB="0" distL="0" distR="0">
            <wp:extent cx="5845369" cy="3038939"/>
            <wp:effectExtent l="19050" t="0" r="2981" b="0"/>
            <wp:docPr id="6" name="Picture 5" descr="Monthly Net Cash Flow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 Net Cash Flow Comparison.png"/>
                    <pic:cNvPicPr/>
                  </pic:nvPicPr>
                  <pic:blipFill>
                    <a:blip r:embed="rId10" cstate="print"/>
                    <a:stretch>
                      <a:fillRect/>
                    </a:stretch>
                  </pic:blipFill>
                  <pic:spPr>
                    <a:xfrm>
                      <a:off x="0" y="0"/>
                      <a:ext cx="5845369" cy="3038939"/>
                    </a:xfrm>
                    <a:prstGeom prst="rect">
                      <a:avLst/>
                    </a:prstGeom>
                  </pic:spPr>
                </pic:pic>
              </a:graphicData>
            </a:graphic>
          </wp:inline>
        </w:drawing>
      </w:r>
    </w:p>
    <w:p w:rsidR="003C4381" w:rsidRDefault="003C4381" w:rsidP="00DF387D">
      <w:pPr>
        <w:rPr>
          <w:b/>
          <w:u w:val="single"/>
        </w:rPr>
      </w:pPr>
      <w:r>
        <w:rPr>
          <w:b/>
          <w:u w:val="single"/>
        </w:rPr>
        <w:lastRenderedPageBreak/>
        <w:t>Statistical Analysis</w:t>
      </w:r>
    </w:p>
    <w:p w:rsidR="00320771" w:rsidRDefault="00320771" w:rsidP="00DF387D">
      <w:r>
        <w:t xml:space="preserve">Based on </w:t>
      </w:r>
      <w:r w:rsidR="009B1309">
        <w:t>our exploratory data analysis process, we</w:t>
      </w:r>
      <w:r>
        <w:t xml:space="preserve"> gained the following knowledge that we’d like to apply to our next steps in</w:t>
      </w:r>
      <w:r w:rsidR="002F4BBA">
        <w:t xml:space="preserve"> statistical analysis. The following filters were applied to isolate the most attractive areas given our investment goals:</w:t>
      </w:r>
    </w:p>
    <w:p w:rsidR="00320771" w:rsidRDefault="00320771" w:rsidP="00320771">
      <w:pPr>
        <w:pStyle w:val="ListParagraph"/>
        <w:numPr>
          <w:ilvl w:val="0"/>
          <w:numId w:val="7"/>
        </w:numPr>
      </w:pPr>
      <w:r>
        <w:t xml:space="preserve">Top states for average monthly net cash flow: </w:t>
      </w:r>
      <w:r w:rsidR="00FC3E54">
        <w:t xml:space="preserve"> CA, CO, DC, FL, GA, MN,</w:t>
      </w:r>
      <w:r>
        <w:t xml:space="preserve"> MS, and TN.</w:t>
      </w:r>
    </w:p>
    <w:p w:rsidR="002F4BBA" w:rsidRDefault="00320771" w:rsidP="002F4BBA">
      <w:pPr>
        <w:pStyle w:val="ListParagraph"/>
        <w:numPr>
          <w:ilvl w:val="0"/>
          <w:numId w:val="7"/>
        </w:numPr>
      </w:pPr>
      <w:r>
        <w:t>Focus on properties with price-to-rent-ratios below 20.3.</w:t>
      </w:r>
    </w:p>
    <w:p w:rsidR="002F4BBA" w:rsidRDefault="002F4BBA" w:rsidP="002F4BBA">
      <w:pPr>
        <w:pStyle w:val="ListParagraph"/>
        <w:numPr>
          <w:ilvl w:val="0"/>
          <w:numId w:val="7"/>
        </w:numPr>
      </w:pPr>
      <w:r>
        <w:t>Remove regions with average monthly net cash flows</w:t>
      </w:r>
      <w:r w:rsidR="004F2498">
        <w:t xml:space="preserve"> less than $100/month</w:t>
      </w:r>
      <w:r>
        <w:t>.</w:t>
      </w:r>
      <w:r w:rsidR="00F31144">
        <w:t xml:space="preserve"> </w:t>
      </w:r>
      <w:r w:rsidR="00C67B95">
        <w:t>This is the minimum margin of error for net cash flow.</w:t>
      </w:r>
    </w:p>
    <w:p w:rsidR="00FC3E54" w:rsidRDefault="00496B01" w:rsidP="002F4BBA">
      <w:pPr>
        <w:pStyle w:val="ListParagraph"/>
        <w:numPr>
          <w:ilvl w:val="0"/>
          <w:numId w:val="7"/>
        </w:numPr>
      </w:pPr>
      <w:r>
        <w:t>Remove regions with median values above $300,000 (latest). The client specified they could afford to put $60,000 down</w:t>
      </w:r>
      <w:r w:rsidR="00F31144">
        <w:t xml:space="preserve"> and 20% down is a common requirement for rental properties.</w:t>
      </w:r>
      <w:r>
        <w:t xml:space="preserve"> </w:t>
      </w:r>
    </w:p>
    <w:p w:rsidR="009B1309" w:rsidRDefault="00550CDE" w:rsidP="00DF387D">
      <w:r>
        <w:t xml:space="preserve"> </w:t>
      </w:r>
      <w:r w:rsidR="00320771">
        <w:t>It was important to use these insights to filter the dataset</w:t>
      </w:r>
      <w:r w:rsidR="00CA56A0">
        <w:t xml:space="preserve"> to more </w:t>
      </w:r>
      <w:r w:rsidR="00C67B95">
        <w:t>digestible</w:t>
      </w:r>
      <w:r w:rsidR="00CA56A0">
        <w:t xml:space="preserve"> pieces</w:t>
      </w:r>
      <w:r w:rsidR="00320771">
        <w:t xml:space="preserve"> and focus on</w:t>
      </w:r>
      <w:r>
        <w:t xml:space="preserve"> differences </w:t>
      </w:r>
      <w:r w:rsidR="00320771">
        <w:t>amongst regions within the most attractive markets</w:t>
      </w:r>
      <w:r w:rsidR="00F31144">
        <w:t xml:space="preserve"> that meet the client’s needs</w:t>
      </w:r>
      <w:r w:rsidR="00320771">
        <w:t xml:space="preserve">. </w:t>
      </w:r>
      <w:r w:rsidR="00A674E3">
        <w:t xml:space="preserve">Based on the filters above, we narrowed the focus from 4,303 regions to 385. </w:t>
      </w:r>
      <w:r w:rsidR="003F530B">
        <w:t>The next step was to then</w:t>
      </w:r>
      <w:r w:rsidR="00F31144">
        <w:t xml:space="preserve"> exhaustively</w:t>
      </w:r>
      <w:r w:rsidR="003F530B">
        <w:t xml:space="preserve"> compare each region</w:t>
      </w:r>
      <w:r w:rsidR="00F31144">
        <w:t xml:space="preserve"> and observe</w:t>
      </w:r>
      <w:r w:rsidR="00320771">
        <w:t xml:space="preserve"> differences in z-scores. </w:t>
      </w:r>
    </w:p>
    <w:p w:rsidR="004625B9" w:rsidRDefault="002743A9" w:rsidP="00DF387D">
      <w:r>
        <w:rPr>
          <w:noProof/>
        </w:rPr>
        <w:drawing>
          <wp:inline distT="0" distB="0" distL="0" distR="0">
            <wp:extent cx="2787760" cy="409492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2790361" cy="4098742"/>
                    </a:xfrm>
                    <a:prstGeom prst="rect">
                      <a:avLst/>
                    </a:prstGeom>
                    <a:noFill/>
                    <a:ln w="9525">
                      <a:noFill/>
                      <a:miter lim="800000"/>
                      <a:headEnd/>
                      <a:tailEnd/>
                    </a:ln>
                  </pic:spPr>
                </pic:pic>
              </a:graphicData>
            </a:graphic>
          </wp:inline>
        </w:drawing>
      </w:r>
      <w:r w:rsidRPr="002743A9">
        <w:t xml:space="preserve"> </w:t>
      </w:r>
      <w:r>
        <w:rPr>
          <w:noProof/>
        </w:rPr>
        <w:drawing>
          <wp:inline distT="0" distB="0" distL="0" distR="0">
            <wp:extent cx="3694209" cy="3872286"/>
            <wp:effectExtent l="19050" t="0" r="1491"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3695439" cy="3873575"/>
                    </a:xfrm>
                    <a:prstGeom prst="rect">
                      <a:avLst/>
                    </a:prstGeom>
                    <a:noFill/>
                    <a:ln w="9525">
                      <a:noFill/>
                      <a:miter lim="800000"/>
                      <a:headEnd/>
                      <a:tailEnd/>
                    </a:ln>
                  </pic:spPr>
                </pic:pic>
              </a:graphicData>
            </a:graphic>
          </wp:inline>
        </w:drawing>
      </w:r>
    </w:p>
    <w:p w:rsidR="001D6C70" w:rsidRPr="009B1309" w:rsidRDefault="001D6C70" w:rsidP="00DF387D"/>
    <w:sectPr w:rsidR="001D6C70" w:rsidRPr="009B1309" w:rsidSect="004C77FF">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096" w:rsidRDefault="00590096" w:rsidP="0012401B">
      <w:pPr>
        <w:spacing w:after="0" w:line="240" w:lineRule="auto"/>
      </w:pPr>
      <w:r>
        <w:separator/>
      </w:r>
    </w:p>
  </w:endnote>
  <w:endnote w:type="continuationSeparator" w:id="0">
    <w:p w:rsidR="00590096" w:rsidRDefault="00590096" w:rsidP="001240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096" w:rsidRDefault="00590096" w:rsidP="0012401B">
      <w:pPr>
        <w:spacing w:after="0" w:line="240" w:lineRule="auto"/>
      </w:pPr>
      <w:r>
        <w:separator/>
      </w:r>
    </w:p>
  </w:footnote>
  <w:footnote w:type="continuationSeparator" w:id="0">
    <w:p w:rsidR="00590096" w:rsidRDefault="00590096" w:rsidP="001240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9762A"/>
    <w:multiLevelType w:val="hybridMultilevel"/>
    <w:tmpl w:val="BBFEA7EA"/>
    <w:lvl w:ilvl="0" w:tplc="E66C5D7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311C8F"/>
    <w:multiLevelType w:val="hybridMultilevel"/>
    <w:tmpl w:val="ABA8FF5A"/>
    <w:lvl w:ilvl="0" w:tplc="966A0B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10022"/>
    <w:multiLevelType w:val="hybridMultilevel"/>
    <w:tmpl w:val="0360FB4C"/>
    <w:lvl w:ilvl="0" w:tplc="97F634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81993"/>
    <w:multiLevelType w:val="hybridMultilevel"/>
    <w:tmpl w:val="23445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1520A0"/>
    <w:multiLevelType w:val="hybridMultilevel"/>
    <w:tmpl w:val="9CD4E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450851"/>
    <w:multiLevelType w:val="hybridMultilevel"/>
    <w:tmpl w:val="207E0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1C5554"/>
    <w:multiLevelType w:val="hybridMultilevel"/>
    <w:tmpl w:val="F93E69EC"/>
    <w:lvl w:ilvl="0" w:tplc="64521506">
      <w:start w:val="1"/>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2401B"/>
    <w:rsid w:val="00002D3F"/>
    <w:rsid w:val="000A5E7A"/>
    <w:rsid w:val="001219FF"/>
    <w:rsid w:val="0012401B"/>
    <w:rsid w:val="00144F53"/>
    <w:rsid w:val="00185948"/>
    <w:rsid w:val="00195667"/>
    <w:rsid w:val="001D6C70"/>
    <w:rsid w:val="001F75D1"/>
    <w:rsid w:val="002743A9"/>
    <w:rsid w:val="002B437B"/>
    <w:rsid w:val="002C588D"/>
    <w:rsid w:val="002F4BBA"/>
    <w:rsid w:val="00320771"/>
    <w:rsid w:val="00366815"/>
    <w:rsid w:val="003C4381"/>
    <w:rsid w:val="003F530B"/>
    <w:rsid w:val="00406A82"/>
    <w:rsid w:val="004625B9"/>
    <w:rsid w:val="0046664F"/>
    <w:rsid w:val="004749F4"/>
    <w:rsid w:val="00496B01"/>
    <w:rsid w:val="004C77FF"/>
    <w:rsid w:val="004F2498"/>
    <w:rsid w:val="00515CF1"/>
    <w:rsid w:val="00550CDE"/>
    <w:rsid w:val="00590096"/>
    <w:rsid w:val="005C2FBC"/>
    <w:rsid w:val="00674068"/>
    <w:rsid w:val="007228DC"/>
    <w:rsid w:val="0077405A"/>
    <w:rsid w:val="00797E69"/>
    <w:rsid w:val="008450C2"/>
    <w:rsid w:val="00863F26"/>
    <w:rsid w:val="0091371E"/>
    <w:rsid w:val="009216B1"/>
    <w:rsid w:val="009B1309"/>
    <w:rsid w:val="00A674E3"/>
    <w:rsid w:val="00B039AC"/>
    <w:rsid w:val="00C67B95"/>
    <w:rsid w:val="00CA56A0"/>
    <w:rsid w:val="00DC4EC0"/>
    <w:rsid w:val="00DE71CA"/>
    <w:rsid w:val="00DF387D"/>
    <w:rsid w:val="00E14C20"/>
    <w:rsid w:val="00E4668B"/>
    <w:rsid w:val="00E65872"/>
    <w:rsid w:val="00F13A84"/>
    <w:rsid w:val="00F31144"/>
    <w:rsid w:val="00F63B7A"/>
    <w:rsid w:val="00F97524"/>
    <w:rsid w:val="00FB3048"/>
    <w:rsid w:val="00FC3E54"/>
    <w:rsid w:val="00FC7B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40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401B"/>
  </w:style>
  <w:style w:type="paragraph" w:styleId="Footer">
    <w:name w:val="footer"/>
    <w:basedOn w:val="Normal"/>
    <w:link w:val="FooterChar"/>
    <w:uiPriority w:val="99"/>
    <w:semiHidden/>
    <w:unhideWhenUsed/>
    <w:rsid w:val="001240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401B"/>
  </w:style>
  <w:style w:type="paragraph" w:styleId="ListParagraph">
    <w:name w:val="List Paragraph"/>
    <w:basedOn w:val="Normal"/>
    <w:uiPriority w:val="34"/>
    <w:qFormat/>
    <w:rsid w:val="002B437B"/>
    <w:pPr>
      <w:ind w:left="720"/>
      <w:contextualSpacing/>
    </w:pPr>
  </w:style>
  <w:style w:type="paragraph" w:styleId="NormalWeb">
    <w:name w:val="Normal (Web)"/>
    <w:basedOn w:val="Normal"/>
    <w:uiPriority w:val="99"/>
    <w:semiHidden/>
    <w:unhideWhenUsed/>
    <w:rsid w:val="0091371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06A82"/>
    <w:pPr>
      <w:spacing w:after="0" w:line="240" w:lineRule="auto"/>
    </w:pPr>
  </w:style>
  <w:style w:type="table" w:styleId="TableGrid">
    <w:name w:val="Table Grid"/>
    <w:basedOn w:val="TableNormal"/>
    <w:uiPriority w:val="59"/>
    <w:rsid w:val="00DF3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7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1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8042415">
      <w:bodyDiv w:val="1"/>
      <w:marLeft w:val="0"/>
      <w:marRight w:val="0"/>
      <w:marTop w:val="0"/>
      <w:marBottom w:val="0"/>
      <w:divBdr>
        <w:top w:val="none" w:sz="0" w:space="0" w:color="auto"/>
        <w:left w:val="none" w:sz="0" w:space="0" w:color="auto"/>
        <w:bottom w:val="none" w:sz="0" w:space="0" w:color="auto"/>
        <w:right w:val="none" w:sz="0" w:space="0" w:color="auto"/>
      </w:divBdr>
    </w:div>
    <w:div w:id="414785657">
      <w:bodyDiv w:val="1"/>
      <w:marLeft w:val="0"/>
      <w:marRight w:val="0"/>
      <w:marTop w:val="0"/>
      <w:marBottom w:val="0"/>
      <w:divBdr>
        <w:top w:val="none" w:sz="0" w:space="0" w:color="auto"/>
        <w:left w:val="none" w:sz="0" w:space="0" w:color="auto"/>
        <w:bottom w:val="none" w:sz="0" w:space="0" w:color="auto"/>
        <w:right w:val="none" w:sz="0" w:space="0" w:color="auto"/>
      </w:divBdr>
    </w:div>
    <w:div w:id="1345933153">
      <w:bodyDiv w:val="1"/>
      <w:marLeft w:val="0"/>
      <w:marRight w:val="0"/>
      <w:marTop w:val="0"/>
      <w:marBottom w:val="0"/>
      <w:divBdr>
        <w:top w:val="none" w:sz="0" w:space="0" w:color="auto"/>
        <w:left w:val="none" w:sz="0" w:space="0" w:color="auto"/>
        <w:bottom w:val="none" w:sz="0" w:space="0" w:color="auto"/>
        <w:right w:val="none" w:sz="0" w:space="0" w:color="auto"/>
      </w:divBdr>
    </w:div>
    <w:div w:id="1410498519">
      <w:bodyDiv w:val="1"/>
      <w:marLeft w:val="0"/>
      <w:marRight w:val="0"/>
      <w:marTop w:val="0"/>
      <w:marBottom w:val="0"/>
      <w:divBdr>
        <w:top w:val="none" w:sz="0" w:space="0" w:color="auto"/>
        <w:left w:val="none" w:sz="0" w:space="0" w:color="auto"/>
        <w:bottom w:val="none" w:sz="0" w:space="0" w:color="auto"/>
        <w:right w:val="none" w:sz="0" w:space="0" w:color="auto"/>
      </w:divBdr>
    </w:div>
    <w:div w:id="1433430642">
      <w:bodyDiv w:val="1"/>
      <w:marLeft w:val="0"/>
      <w:marRight w:val="0"/>
      <w:marTop w:val="0"/>
      <w:marBottom w:val="0"/>
      <w:divBdr>
        <w:top w:val="none" w:sz="0" w:space="0" w:color="auto"/>
        <w:left w:val="none" w:sz="0" w:space="0" w:color="auto"/>
        <w:bottom w:val="none" w:sz="0" w:space="0" w:color="auto"/>
        <w:right w:val="none" w:sz="0" w:space="0" w:color="auto"/>
      </w:divBdr>
    </w:div>
    <w:div w:id="1725905489">
      <w:bodyDiv w:val="1"/>
      <w:marLeft w:val="0"/>
      <w:marRight w:val="0"/>
      <w:marTop w:val="0"/>
      <w:marBottom w:val="0"/>
      <w:divBdr>
        <w:top w:val="none" w:sz="0" w:space="0" w:color="auto"/>
        <w:left w:val="none" w:sz="0" w:space="0" w:color="auto"/>
        <w:bottom w:val="none" w:sz="0" w:space="0" w:color="auto"/>
        <w:right w:val="none" w:sz="0" w:space="0" w:color="auto"/>
      </w:divBdr>
    </w:div>
    <w:div w:id="211204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5</Pages>
  <Words>1330</Words>
  <Characters>6964</Characters>
  <Application>Microsoft Office Word</Application>
  <DocSecurity>0</DocSecurity>
  <Lines>185</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KKanoe</dc:creator>
  <cp:lastModifiedBy>KKanoe</cp:lastModifiedBy>
  <cp:revision>16</cp:revision>
  <dcterms:created xsi:type="dcterms:W3CDTF">2019-07-24T22:54:00Z</dcterms:created>
  <dcterms:modified xsi:type="dcterms:W3CDTF">2019-07-30T01:46:00Z</dcterms:modified>
</cp:coreProperties>
</file>