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A1B0" w14:textId="75B7E498" w:rsidR="0039273E" w:rsidRDefault="003927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had started a while an article study about the Transformers in the paper Attention is all you need</w:t>
      </w:r>
      <w:r w:rsidR="009F058B">
        <w:rPr>
          <w:rFonts w:ascii="Times New Roman" w:hAnsi="Times New Roman" w:cs="Times New Roman"/>
          <w:sz w:val="28"/>
          <w:szCs w:val="28"/>
          <w:lang w:val="en-US"/>
        </w:rPr>
        <w:t xml:space="preserve"> for NLP </w:t>
      </w:r>
      <w:r w:rsidR="00034BFB">
        <w:rPr>
          <w:rFonts w:ascii="Times New Roman" w:hAnsi="Times New Roman" w:cs="Times New Roman"/>
          <w:sz w:val="28"/>
          <w:szCs w:val="28"/>
          <w:lang w:val="en-US"/>
        </w:rPr>
        <w:t>tasks;</w:t>
      </w:r>
      <w:r w:rsidR="009F058B">
        <w:rPr>
          <w:rFonts w:ascii="Times New Roman" w:hAnsi="Times New Roman" w:cs="Times New Roman"/>
          <w:sz w:val="28"/>
          <w:szCs w:val="28"/>
          <w:lang w:val="en-US"/>
        </w:rPr>
        <w:t xml:space="preserve"> I was going to move on to VIT models and eventually toward the SWIN Transformers.</w:t>
      </w:r>
    </w:p>
    <w:p w14:paraId="7C91F3B1" w14:textId="01EB24B3" w:rsidR="0039273E" w:rsidRPr="007B529B" w:rsidRDefault="007B52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29B">
        <w:rPr>
          <w:rFonts w:ascii="Times New Roman" w:hAnsi="Times New Roman" w:cs="Times New Roman"/>
          <w:sz w:val="28"/>
          <w:szCs w:val="28"/>
          <w:lang w:val="en-US"/>
        </w:rPr>
        <w:t xml:space="preserve">The state of art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studying process is rather straight forward. </w:t>
      </w:r>
      <w:r w:rsidR="0039273E"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trying to understand the intuition </w:t>
      </w:r>
      <w:r w:rsidR="0039273E">
        <w:rPr>
          <w:rFonts w:ascii="Times New Roman" w:hAnsi="Times New Roman" w:cs="Times New Roman"/>
          <w:sz w:val="28"/>
          <w:szCs w:val="28"/>
          <w:lang w:val="en-US"/>
        </w:rPr>
        <w:t xml:space="preserve">behind the architecture, to understand how we get from input to output. How best can we utilize this architecture? </w:t>
      </w:r>
      <w:r w:rsidR="00034BF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9273E">
        <w:rPr>
          <w:rFonts w:ascii="Times New Roman" w:hAnsi="Times New Roman" w:cs="Times New Roman"/>
          <w:sz w:val="28"/>
          <w:szCs w:val="28"/>
          <w:lang w:val="en-US"/>
        </w:rPr>
        <w:t xml:space="preserve"> figure this out we also check for </w:t>
      </w:r>
      <w:r w:rsidR="008D3B5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9273E">
        <w:rPr>
          <w:rFonts w:ascii="Times New Roman" w:hAnsi="Times New Roman" w:cs="Times New Roman"/>
          <w:sz w:val="28"/>
          <w:szCs w:val="28"/>
          <w:lang w:val="en-US"/>
        </w:rPr>
        <w:t xml:space="preserve"> repo, available public weights and dataset used to.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ED0998" w:rsidRPr="00315FFC" w14:paraId="2EB0710A" w14:textId="77777777" w:rsidTr="00ED0998">
        <w:trPr>
          <w:jc w:val="center"/>
        </w:trPr>
        <w:tc>
          <w:tcPr>
            <w:tcW w:w="1510" w:type="dxa"/>
            <w:shd w:val="clear" w:color="auto" w:fill="B4C6E7" w:themeFill="accent1" w:themeFillTint="66"/>
          </w:tcPr>
          <w:p w14:paraId="4204B072" w14:textId="7443C1E3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1510" w:type="dxa"/>
            <w:shd w:val="clear" w:color="auto" w:fill="B4C6E7" w:themeFill="accent1" w:themeFillTint="66"/>
          </w:tcPr>
          <w:p w14:paraId="48F1F030" w14:textId="2EF188E2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Weights</w:t>
            </w:r>
          </w:p>
        </w:tc>
        <w:tc>
          <w:tcPr>
            <w:tcW w:w="1510" w:type="dxa"/>
            <w:shd w:val="clear" w:color="auto" w:fill="B4C6E7" w:themeFill="accent1" w:themeFillTint="66"/>
          </w:tcPr>
          <w:p w14:paraId="04983510" w14:textId="197796C3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1510" w:type="dxa"/>
            <w:shd w:val="clear" w:color="auto" w:fill="B4C6E7" w:themeFill="accent1" w:themeFillTint="66"/>
          </w:tcPr>
          <w:p w14:paraId="5E384F33" w14:textId="56A50F03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511" w:type="dxa"/>
            <w:shd w:val="clear" w:color="auto" w:fill="B4C6E7" w:themeFill="accent1" w:themeFillTint="66"/>
          </w:tcPr>
          <w:p w14:paraId="31432DB2" w14:textId="03FC3357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</w:t>
            </w:r>
          </w:p>
        </w:tc>
      </w:tr>
      <w:tr w:rsidR="00ED0998" w:rsidRPr="00315FFC" w14:paraId="57B51C6E" w14:textId="77777777" w:rsidTr="00ED0998">
        <w:trPr>
          <w:jc w:val="center"/>
        </w:trPr>
        <w:tc>
          <w:tcPr>
            <w:tcW w:w="1510" w:type="dxa"/>
          </w:tcPr>
          <w:p w14:paraId="41ED4880" w14:textId="444CC3CA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1510" w:type="dxa"/>
          </w:tcPr>
          <w:p w14:paraId="4703355C" w14:textId="56435C0B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1510" w:type="dxa"/>
          </w:tcPr>
          <w:p w14:paraId="6122E29C" w14:textId="722FD53C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1510" w:type="dxa"/>
          </w:tcPr>
          <w:p w14:paraId="125C72DC" w14:textId="3817310F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11" w:type="dxa"/>
          </w:tcPr>
          <w:p w14:paraId="7FAF22E2" w14:textId="6CC1E7C9" w:rsidR="00ED0998" w:rsidRPr="00315FFC" w:rsidRDefault="00ED0998" w:rsidP="00ED09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06996C7F" w14:textId="7C6F4162" w:rsidR="007B529B" w:rsidRPr="00F00B43" w:rsidRDefault="00DB7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B43">
        <w:rPr>
          <w:rFonts w:ascii="Times New Roman" w:hAnsi="Times New Roman" w:cs="Times New Roman"/>
          <w:sz w:val="28"/>
          <w:szCs w:val="28"/>
          <w:lang w:val="en-US"/>
        </w:rPr>
        <w:t xml:space="preserve">The model is a little on the heavy side for embedded applications, but there </w:t>
      </w:r>
      <w:r w:rsidR="00F00B43" w:rsidRPr="00F00B43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00B43">
        <w:rPr>
          <w:rFonts w:ascii="Times New Roman" w:hAnsi="Times New Roman" w:cs="Times New Roman"/>
          <w:sz w:val="28"/>
          <w:szCs w:val="28"/>
          <w:lang w:val="en-US"/>
        </w:rPr>
        <w:t xml:space="preserve"> been some detection models that integrated the SWIN transformers into their backbone. We d have to review those models to test their </w:t>
      </w:r>
      <w:r w:rsidR="00F00B43" w:rsidRPr="00F00B43">
        <w:rPr>
          <w:rFonts w:ascii="Times New Roman" w:hAnsi="Times New Roman" w:cs="Times New Roman"/>
          <w:sz w:val="28"/>
          <w:szCs w:val="28"/>
          <w:lang w:val="en-US"/>
        </w:rPr>
        <w:t>suitability</w:t>
      </w:r>
      <w:r w:rsidRPr="00F00B43">
        <w:rPr>
          <w:rFonts w:ascii="Times New Roman" w:hAnsi="Times New Roman" w:cs="Times New Roman"/>
          <w:sz w:val="28"/>
          <w:szCs w:val="28"/>
          <w:lang w:val="en-US"/>
        </w:rPr>
        <w:t xml:space="preserve"> on embedded </w:t>
      </w:r>
      <w:r w:rsidR="00F00B43" w:rsidRPr="00F00B43">
        <w:rPr>
          <w:rFonts w:ascii="Times New Roman" w:hAnsi="Times New Roman" w:cs="Times New Roman"/>
          <w:sz w:val="28"/>
          <w:szCs w:val="28"/>
          <w:lang w:val="en-US"/>
        </w:rPr>
        <w:t>systems.</w:t>
      </w:r>
    </w:p>
    <w:p w14:paraId="2CA76395" w14:textId="773559A4" w:rsidR="00CD0B95" w:rsidRPr="00ED0998" w:rsidRDefault="00315F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7D6B04" w:rsidRPr="00315FFC">
        <w:rPr>
          <w:rFonts w:ascii="Times New Roman" w:hAnsi="Times New Roman" w:cs="Times New Roman"/>
          <w:b/>
          <w:bCs/>
          <w:sz w:val="32"/>
          <w:szCs w:val="32"/>
          <w:lang w:val="en-US"/>
        </w:rPr>
        <w:t>AN IMAGE IS WORTH 16X16 WORDS: T</w:t>
      </w:r>
      <w:r w:rsidR="007D6B04" w:rsidRPr="00315F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ransformer for image recognition at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315FFC">
        <w:rPr>
          <w:rFonts w:ascii="Times New Roman" w:hAnsi="Times New Roman" w:cs="Times New Roman"/>
          <w:b/>
          <w:bCs/>
          <w:sz w:val="32"/>
          <w:szCs w:val="32"/>
          <w:lang w:val="en-US"/>
        </w:rPr>
        <w:t>cale</w:t>
      </w:r>
      <w:r w:rsidR="007B529B">
        <w:rPr>
          <w:rFonts w:ascii="Times New Roman" w:hAnsi="Times New Roman" w:cs="Times New Roman"/>
          <w:sz w:val="32"/>
          <w:szCs w:val="32"/>
          <w:lang w:val="en-US"/>
        </w:rPr>
        <w:br/>
      </w:r>
      <w:r w:rsidR="00034BFB">
        <w:rPr>
          <w:rFonts w:ascii="Times New Roman" w:hAnsi="Times New Roman" w:cs="Times New Roman"/>
          <w:sz w:val="28"/>
          <w:szCs w:val="28"/>
          <w:lang w:val="en-US"/>
        </w:rPr>
        <w:t xml:space="preserve">The default approach for Transformers that consists of representing each token from the input with a linear embedding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34BFB">
        <w:rPr>
          <w:rFonts w:ascii="Times New Roman" w:hAnsi="Times New Roman" w:cs="Times New Roman"/>
          <w:sz w:val="28"/>
          <w:szCs w:val="28"/>
          <w:lang w:val="en-US"/>
        </w:rPr>
        <w:t xml:space="preserve"> feed them through the attention layer was tested as is </w:t>
      </w:r>
      <w:r>
        <w:rPr>
          <w:rFonts w:ascii="Times New Roman" w:hAnsi="Times New Roman" w:cs="Times New Roman"/>
          <w:sz w:val="28"/>
          <w:szCs w:val="28"/>
          <w:lang w:val="en-US"/>
        </w:rPr>
        <w:t>firsthand</w:t>
      </w:r>
      <w:r w:rsidR="00034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34BFB">
        <w:rPr>
          <w:rFonts w:ascii="Times New Roman" w:hAnsi="Times New Roman" w:cs="Times New Roman"/>
          <w:sz w:val="28"/>
          <w:szCs w:val="28"/>
          <w:lang w:val="en-US"/>
        </w:rPr>
        <w:t xml:space="preserve"> using image patches (image split into a grid)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tokens, such test didn’t yield encouraging results due to inability of transformers to mimic CNNs</w:t>
      </w:r>
      <w:r w:rsidR="00CD0B95">
        <w:rPr>
          <w:rFonts w:ascii="Times New Roman" w:hAnsi="Times New Roman" w:cs="Times New Roman"/>
          <w:sz w:val="28"/>
          <w:szCs w:val="28"/>
          <w:lang w:val="en-US"/>
        </w:rPr>
        <w:t xml:space="preserve">, because VIT doesn’t handle image straight to it has less inductive bias. In CNNs, </w:t>
      </w:r>
      <w:r w:rsidR="00CD0B95" w:rsidRPr="00CD0B95">
        <w:rPr>
          <w:rFonts w:ascii="Times New Roman" w:hAnsi="Times New Roman" w:cs="Times New Roman"/>
          <w:sz w:val="28"/>
          <w:szCs w:val="28"/>
          <w:lang w:val="en-US"/>
        </w:rPr>
        <w:t>locality, two-dimensional neighborhood structure, and translation equivariance are baked into each layer throughout the whole model</w:t>
      </w:r>
      <w:r w:rsidR="00E236C8">
        <w:rPr>
          <w:rFonts w:ascii="Times New Roman" w:hAnsi="Times New Roman" w:cs="Times New Roman"/>
          <w:sz w:val="28"/>
          <w:szCs w:val="28"/>
          <w:lang w:val="en-US"/>
        </w:rPr>
        <w:t>, but it is not the case in VITs which will be illustrated below.</w:t>
      </w:r>
    </w:p>
    <w:p w14:paraId="2C9C2959" w14:textId="714E7EAD" w:rsidR="00EA3EFC" w:rsidRDefault="00F00B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7E3B50" wp14:editId="38C96833">
            <wp:simplePos x="0" y="0"/>
            <wp:positionH relativeFrom="column">
              <wp:posOffset>625475</wp:posOffset>
            </wp:positionH>
            <wp:positionV relativeFrom="paragraph">
              <wp:posOffset>913130</wp:posOffset>
            </wp:positionV>
            <wp:extent cx="4157345" cy="2479675"/>
            <wp:effectExtent l="0" t="0" r="0" b="0"/>
            <wp:wrapTopAndBottom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FFC">
        <w:rPr>
          <w:rFonts w:ascii="Times New Roman" w:hAnsi="Times New Roman" w:cs="Times New Roman"/>
          <w:sz w:val="28"/>
          <w:szCs w:val="28"/>
          <w:lang w:val="en-US"/>
        </w:rPr>
        <w:t>However, this was overcome by supplying more data for training, which is a little inconvenient in the cases where one wants to make a fresh model from scratch for a certain use case due to usually lack of data or resource to procure data.</w:t>
      </w:r>
    </w:p>
    <w:p w14:paraId="618D0617" w14:textId="42704966" w:rsidR="00983368" w:rsidRDefault="00D21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review how attention works. Transformers essentially are attention layers stacked on top of each other, it is split into 2 parts encoders and decoders, and we take interest in the encoder of course (feature extraction).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In NLP, for token in the input which are limited to 500 token tops at once, a linear embedding vector is generated using the positional embedding (regular embedding vector + position in the input vector). In vision such linear vector is generated through a flatten layer, so each image patch is flattened into a single vector. </w:t>
      </w:r>
    </w:p>
    <w:p w14:paraId="0CA5E85D" w14:textId="2C311063" w:rsidR="00983368" w:rsidRDefault="00983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AA435B" wp14:editId="6571F510">
            <wp:extent cx="5760720" cy="2789555"/>
            <wp:effectExtent l="0" t="0" r="0" b="0"/>
            <wp:docPr id="3" name="Image 3" descr="Une image contenant texte, horloge, capture d’écran, graphique vecto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horloge, capture d’écran, graphique vector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C343" w14:textId="107E2768" w:rsidR="00315FFC" w:rsidRDefault="00983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</w:t>
      </w:r>
      <w:r w:rsidR="00D21108">
        <w:rPr>
          <w:rFonts w:ascii="Times New Roman" w:hAnsi="Times New Roman" w:cs="Times New Roman"/>
          <w:sz w:val="28"/>
          <w:szCs w:val="28"/>
          <w:lang w:val="en-US"/>
        </w:rPr>
        <w:t xml:space="preserve"> post this stage the attention calculation is similar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>The first step is to create 3 vectors query, key and val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e for each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linear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vector received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the input. The vectors are created using the dot product between the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>linear vector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>the weight matrices</w:t>
      </w:r>
      <w:r w:rsidRPr="009833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Notice that there are 7 different matrices, each one is what is known a head of attention thus the famous deep learning layer multi headed attention. 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>So,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these quer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 xml:space="preserve">y key and value vectors is calculated in every head. Within each head, we have Q, K and V vectors for each patch from the input for which we need to calculate attention now, how? for each patch’s query vector we calculate dot product with all other K vectors (including patch s K vector in question) the result which should be scalar is divided by square root of K’s size (64 by default) and fed to a SoftMax function. 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>SoftMax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values determine how much the 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t is express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in each corresponding 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from the sequence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by multiplying it by its value vector 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>allows to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conserv</w:t>
      </w:r>
      <w:r w:rsidR="00F120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the words with the highest 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>SoftMax</w:t>
      </w:r>
      <w:r w:rsidR="00F12064" w:rsidRPr="00F12064">
        <w:rPr>
          <w:rFonts w:ascii="Times New Roman" w:hAnsi="Times New Roman" w:cs="Times New Roman"/>
          <w:sz w:val="28"/>
          <w:szCs w:val="28"/>
          <w:lang w:val="en-US"/>
        </w:rPr>
        <w:t xml:space="preserve"> score and draw out the ones with the lowest scores.</w:t>
      </w:r>
      <w:r w:rsidR="00D1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A2C">
        <w:rPr>
          <w:rFonts w:ascii="Times New Roman" w:hAnsi="Times New Roman" w:cs="Times New Roman"/>
          <w:sz w:val="28"/>
          <w:szCs w:val="28"/>
          <w:lang w:val="en-US"/>
        </w:rPr>
        <w:t>In s</w:t>
      </w:r>
      <w:r w:rsidR="00D161ED">
        <w:rPr>
          <w:rFonts w:ascii="Times New Roman" w:hAnsi="Times New Roman" w:cs="Times New Roman"/>
          <w:sz w:val="28"/>
          <w:szCs w:val="28"/>
          <w:lang w:val="en-US"/>
        </w:rPr>
        <w:t xml:space="preserve">uch </w:t>
      </w:r>
      <w:r w:rsidR="00366A2C">
        <w:rPr>
          <w:rFonts w:ascii="Times New Roman" w:hAnsi="Times New Roman" w:cs="Times New Roman"/>
          <w:sz w:val="28"/>
          <w:szCs w:val="28"/>
          <w:lang w:val="en-US"/>
        </w:rPr>
        <w:t xml:space="preserve">manner </w:t>
      </w:r>
      <w:r w:rsidR="00D161ED">
        <w:rPr>
          <w:rFonts w:ascii="Times New Roman" w:hAnsi="Times New Roman" w:cs="Times New Roman"/>
          <w:sz w:val="28"/>
          <w:szCs w:val="28"/>
          <w:lang w:val="en-US"/>
        </w:rPr>
        <w:t>attention matrix for each patch</w:t>
      </w:r>
      <w:r w:rsidR="00366A2C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366A2C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="00366A2C">
        <w:rPr>
          <w:rFonts w:ascii="Times New Roman" w:hAnsi="Times New Roman" w:cs="Times New Roman"/>
          <w:sz w:val="28"/>
          <w:szCs w:val="28"/>
          <w:lang w:val="en-US"/>
        </w:rPr>
        <w:t xml:space="preserve"> and stacked. As there is a mismatch between the stacked matrices and the input for the next layer Feed forward, a weight (WO) matrix is added for a dot product. This WO is trained alongside the model.</w:t>
      </w:r>
    </w:p>
    <w:p w14:paraId="562F5890" w14:textId="48D1AA85" w:rsidR="00D34EEB" w:rsidRDefault="00ED09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8941E1" wp14:editId="1BE8439F">
            <wp:simplePos x="0" y="0"/>
            <wp:positionH relativeFrom="margin">
              <wp:align>center</wp:align>
            </wp:positionH>
            <wp:positionV relativeFrom="paragraph">
              <wp:posOffset>1392581</wp:posOffset>
            </wp:positionV>
            <wp:extent cx="4637836" cy="2652748"/>
            <wp:effectExtent l="0" t="0" r="0" b="0"/>
            <wp:wrapTopAndBottom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36" cy="265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EEB">
        <w:rPr>
          <w:rFonts w:ascii="Times New Roman" w:hAnsi="Times New Roman" w:cs="Times New Roman"/>
          <w:sz w:val="28"/>
          <w:szCs w:val="28"/>
          <w:lang w:val="en-US"/>
        </w:rPr>
        <w:t xml:space="preserve">We have gotten through how attention layers work. We circle back to </w:t>
      </w:r>
      <w:proofErr w:type="spellStart"/>
      <w:r w:rsidR="00D34EEB">
        <w:rPr>
          <w:rFonts w:ascii="Times New Roman" w:hAnsi="Times New Roman" w:cs="Times New Roman"/>
          <w:sz w:val="28"/>
          <w:szCs w:val="28"/>
          <w:lang w:val="en-US"/>
        </w:rPr>
        <w:t>ViTs</w:t>
      </w:r>
      <w:proofErr w:type="spellEnd"/>
      <w:r w:rsidR="00D34EEB">
        <w:rPr>
          <w:rFonts w:ascii="Times New Roman" w:hAnsi="Times New Roman" w:cs="Times New Roman"/>
          <w:sz w:val="28"/>
          <w:szCs w:val="28"/>
          <w:lang w:val="en-US"/>
        </w:rPr>
        <w:t xml:space="preserve"> which is almost identical in process, difference lies in the initial embedding input and of course it is not a </w:t>
      </w:r>
      <w:r w:rsidR="00CD0B95">
        <w:rPr>
          <w:rFonts w:ascii="Times New Roman" w:hAnsi="Times New Roman" w:cs="Times New Roman"/>
          <w:sz w:val="28"/>
          <w:szCs w:val="28"/>
          <w:lang w:val="en-US"/>
        </w:rPr>
        <w:t>sequence-to-sequence</w:t>
      </w:r>
      <w:r w:rsidR="00D34EEB">
        <w:rPr>
          <w:rFonts w:ascii="Times New Roman" w:hAnsi="Times New Roman" w:cs="Times New Roman"/>
          <w:sz w:val="28"/>
          <w:szCs w:val="28"/>
          <w:lang w:val="en-US"/>
        </w:rPr>
        <w:t xml:space="preserve"> architecture although I believe it can be done</w:t>
      </w:r>
      <w:r w:rsidR="00CD0B95">
        <w:rPr>
          <w:rFonts w:ascii="Times New Roman" w:hAnsi="Times New Roman" w:cs="Times New Roman"/>
          <w:sz w:val="28"/>
          <w:szCs w:val="28"/>
          <w:lang w:val="en-US"/>
        </w:rPr>
        <w:t>. One proposed variant consists of swapping out the flatten layers with a CNN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0B95">
        <w:rPr>
          <w:rFonts w:ascii="Times New Roman" w:hAnsi="Times New Roman" w:cs="Times New Roman"/>
          <w:sz w:val="28"/>
          <w:szCs w:val="28"/>
          <w:lang w:val="en-US"/>
        </w:rPr>
        <w:t xml:space="preserve"> to extract feature vectors for each patch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(mainly tested extracted was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D0B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3DB54E" w14:textId="2BCF1B33" w:rsidR="00315FFC" w:rsidRDefault="00315FF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541"/>
        <w:gridCol w:w="1541"/>
      </w:tblGrid>
      <w:tr w:rsidR="00ED0998" w14:paraId="101629EE" w14:textId="77777777" w:rsidTr="00ED0998">
        <w:trPr>
          <w:trHeight w:val="389"/>
          <w:jc w:val="center"/>
        </w:trPr>
        <w:tc>
          <w:tcPr>
            <w:tcW w:w="1541" w:type="dxa"/>
          </w:tcPr>
          <w:p w14:paraId="5336A554" w14:textId="219841CE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41" w:type="dxa"/>
          </w:tcPr>
          <w:p w14:paraId="7271762F" w14:textId="5CC1A3C7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Layers</w:t>
            </w:r>
          </w:p>
        </w:tc>
        <w:tc>
          <w:tcPr>
            <w:tcW w:w="1541" w:type="dxa"/>
          </w:tcPr>
          <w:p w14:paraId="05CFCDC8" w14:textId="2E94D45E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Params (m)</w:t>
            </w:r>
          </w:p>
        </w:tc>
      </w:tr>
      <w:tr w:rsidR="00ED0998" w14:paraId="38CF2512" w14:textId="77777777" w:rsidTr="00ED0998">
        <w:trPr>
          <w:trHeight w:val="389"/>
          <w:jc w:val="center"/>
        </w:trPr>
        <w:tc>
          <w:tcPr>
            <w:tcW w:w="1541" w:type="dxa"/>
          </w:tcPr>
          <w:p w14:paraId="3D5352BF" w14:textId="3D55DAA8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-Base</w:t>
            </w:r>
          </w:p>
        </w:tc>
        <w:tc>
          <w:tcPr>
            <w:tcW w:w="1541" w:type="dxa"/>
          </w:tcPr>
          <w:p w14:paraId="409A4792" w14:textId="4F58FC5F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41" w:type="dxa"/>
          </w:tcPr>
          <w:p w14:paraId="79B8923D" w14:textId="1EA3E946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</w:tr>
      <w:tr w:rsidR="00ED0998" w14:paraId="5CAA51D0" w14:textId="77777777" w:rsidTr="00ED0998">
        <w:trPr>
          <w:trHeight w:val="373"/>
          <w:jc w:val="center"/>
        </w:trPr>
        <w:tc>
          <w:tcPr>
            <w:tcW w:w="1541" w:type="dxa"/>
          </w:tcPr>
          <w:p w14:paraId="7DCE0791" w14:textId="16EA4EC1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-Large</w:t>
            </w:r>
          </w:p>
        </w:tc>
        <w:tc>
          <w:tcPr>
            <w:tcW w:w="1541" w:type="dxa"/>
          </w:tcPr>
          <w:p w14:paraId="64053252" w14:textId="7BE26DFF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41" w:type="dxa"/>
          </w:tcPr>
          <w:p w14:paraId="36685C51" w14:textId="1138F514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</w:t>
            </w:r>
          </w:p>
        </w:tc>
      </w:tr>
      <w:tr w:rsidR="00ED0998" w14:paraId="67A748CA" w14:textId="77777777" w:rsidTr="00ED0998">
        <w:trPr>
          <w:trHeight w:val="389"/>
          <w:jc w:val="center"/>
        </w:trPr>
        <w:tc>
          <w:tcPr>
            <w:tcW w:w="1541" w:type="dxa"/>
          </w:tcPr>
          <w:p w14:paraId="0D116FDB" w14:textId="2CDBE2E5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-Huge</w:t>
            </w:r>
          </w:p>
        </w:tc>
        <w:tc>
          <w:tcPr>
            <w:tcW w:w="1541" w:type="dxa"/>
          </w:tcPr>
          <w:p w14:paraId="70FCEF7C" w14:textId="271420F6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541" w:type="dxa"/>
          </w:tcPr>
          <w:p w14:paraId="327C5A77" w14:textId="511EC127" w:rsidR="00ED0998" w:rsidRDefault="00ED0998" w:rsidP="00ED09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632</w:t>
            </w:r>
          </w:p>
        </w:tc>
      </w:tr>
    </w:tbl>
    <w:p w14:paraId="00C05BE7" w14:textId="77777777" w:rsidR="00ED0998" w:rsidRDefault="00ED09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CA059" w14:textId="3876DAA4" w:rsidR="00315FFC" w:rsidRPr="00CD0B95" w:rsidRDefault="00315FF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5FFC" w:rsidRPr="00CD0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C"/>
    <w:rsid w:val="00034BFB"/>
    <w:rsid w:val="00315FFC"/>
    <w:rsid w:val="00366A2C"/>
    <w:rsid w:val="0039273E"/>
    <w:rsid w:val="007B529B"/>
    <w:rsid w:val="007D6B04"/>
    <w:rsid w:val="008D3B51"/>
    <w:rsid w:val="00983368"/>
    <w:rsid w:val="009F058B"/>
    <w:rsid w:val="00CD0B95"/>
    <w:rsid w:val="00D161ED"/>
    <w:rsid w:val="00D21108"/>
    <w:rsid w:val="00D34EEB"/>
    <w:rsid w:val="00DB794F"/>
    <w:rsid w:val="00E236C8"/>
    <w:rsid w:val="00EA3EFC"/>
    <w:rsid w:val="00ED0998"/>
    <w:rsid w:val="00F00B43"/>
    <w:rsid w:val="00F1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2EBF"/>
  <w15:chartTrackingRefBased/>
  <w15:docId w15:val="{DDFF49DE-289F-47AC-A8E8-E5D4A5C9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KESMIA</dc:creator>
  <cp:keywords/>
  <dc:description/>
  <cp:lastModifiedBy>KHALED KESMIA</cp:lastModifiedBy>
  <cp:revision>9</cp:revision>
  <dcterms:created xsi:type="dcterms:W3CDTF">2023-04-24T19:41:00Z</dcterms:created>
  <dcterms:modified xsi:type="dcterms:W3CDTF">2023-04-24T22:52:00Z</dcterms:modified>
</cp:coreProperties>
</file>