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游ゴシック" w:cs="游ゴシック" w:eastAsia="游ゴシック" w:hAnsi="游ゴシック"/>
          <w:b/>
          <w:bCs/>
          <w:sz w:val="30"/>
          <w:szCs w:val="30"/>
        </w:rPr>
        <w:t xml:space="preserve">特定核燃料物質検知装置</w:t>
      </w:r>
    </w:p>
    <w:p>
      <w:pPr>
        <w:spacing w:after="240"/>
        <w:jc w:val="center"/>
      </w:pPr>
      <w:r>
        <w:rPr>
          <w:rFonts w:ascii="游ゴシック" w:cs="游ゴシック" w:eastAsia="游ゴシック" w:hAnsi="游ゴシック"/>
          <w:b/>
          <w:bCs/>
          <w:sz w:val="26"/>
          <w:szCs w:val="26"/>
        </w:rPr>
        <w:t xml:space="preserve">（ＳＮＭゲートモニタ）</w:t>
      </w:r>
    </w:p>
    <w:p>
      <w:pPr>
        <w:pBdr>
          <w:top w:val="single" w:color="1F3864" w:sz="12"/>
          <w:bottom w:val="single" w:color="1F3864" w:sz="12"/>
        </w:pBdr>
        <w:spacing w:after="120"/>
        <w:jc w:val="center"/>
      </w:pPr>
      <w:r>
        <w:rPr>
          <w:rFonts w:ascii="游ゴシック" w:cs="游ゴシック" w:eastAsia="游ゴシック" w:hAnsi="游ゴシック"/>
          <w:b/>
          <w:bCs/>
          <w:color w:val="1F3864"/>
          <w:sz w:val="40"/>
          <w:szCs w:val="40"/>
        </w:rPr>
        <w:t xml:space="preserve">用 語 解 説 書</w:t>
      </w:r>
    </w:p>
    <w:p>
      <w:pPr>
        <w:spacing w:before="200"/>
        <w:jc w:val="center"/>
      </w:pPr>
      <w:r>
        <w:rPr>
          <w:rFonts w:ascii="游明朝" w:cs="游明朝" w:eastAsia="游明朝" w:hAnsi="游明朝"/>
          <w:color w:val="444444"/>
          <w:sz w:val="22"/>
          <w:szCs w:val="22"/>
        </w:rPr>
        <w:t xml:space="preserve">― 測定・警報判定に関する用語 ―</w:t>
      </w:r>
    </w:p>
    <w:p>
      <w:pPr>
        <w:spacing w:before="2600"/>
        <w:jc w:val="center"/>
      </w:pPr>
      <w:r>
        <w:rPr>
          <w:rFonts w:ascii="游明朝" w:cs="游明朝" w:eastAsia="游明朝" w:hAnsi="游明朝"/>
          <w:b w:val="false"/>
          <w:bCs w:val="false"/>
          <w:sz w:val="20"/>
          <w:szCs w:val="20"/>
        </w:rPr>
        <w:t xml:space="preserve">本書は、下記の技術資料に記載された用語集に基づき作成した解説書です。</w:t>
      </w:r>
    </w:p>
    <w:tbl>
      <w:tblPr>
        <w:tblW w:type="dxa" w:w="7000"/>
        <w:jc w:val="center"/>
        <w:tblBorders>
          <w:top w:val="single" w:color="9DB2D6" w:sz="4"/>
          <w:left w:val="single" w:color="9DB2D6" w:sz="4"/>
          <w:bottom w:val="single" w:color="9DB2D6" w:sz="4"/>
          <w:right w:val="single" w:color="9DB2D6" w:sz="4"/>
          <w:insideH w:val="single" w:color="C7D3E8" w:sz="4"/>
          <w:insideV w:val="single" w:color="C7D3E8" w:sz="4"/>
        </w:tblBorders>
      </w:tblPr>
      <w:tblGrid>
        <w:gridCol w:w="3200"/>
        <w:gridCol w:w="3800"/>
      </w:tblGrid>
      <w:tr>
        <w:tc>
          <w:tcPr>
            <w:tcW w:type="dxa" w:w="3200"/>
            <w:shd w:fill="1F3864" w:color="auto" w:val="clear"/>
            <w:tcMar>
              <w:top w:type="dxa" w:w="50"/>
              <w:left w:type="dxa" w:w="100"/>
              <w:bottom w:type="dxa" w:w="50"/>
              <w:right w:type="dxa" w:w="100"/>
            </w:tcMar>
          </w:tcPr>
          <w:p>
            <w:pPr>
              <w:jc w:val="center"/>
            </w:pPr>
            <w:r>
              <w:rPr>
                <w:rFonts w:ascii="游ゴシック" w:cs="游ゴシック" w:eastAsia="游ゴシック" w:hAnsi="游ゴシック"/>
                <w:b/>
                <w:bCs/>
                <w:color w:val="FFFFFF"/>
                <w:sz w:val="19"/>
                <w:szCs w:val="19"/>
              </w:rPr>
              <w:t xml:space="preserve">資料種別</w:t>
            </w:r>
          </w:p>
        </w:tc>
        <w:tc>
          <w:tcPr>
            <w:tcW w:type="dxa" w:w="3800"/>
            <w:shd w:fill="1F3864" w:color="auto" w:val="clear"/>
            <w:tcMar>
              <w:top w:type="dxa" w:w="50"/>
              <w:left w:type="dxa" w:w="100"/>
              <w:bottom w:type="dxa" w:w="50"/>
              <w:right w:type="dxa" w:w="100"/>
            </w:tcMar>
          </w:tcPr>
          <w:p>
            <w:pPr>
              <w:jc w:val="left"/>
            </w:pPr>
            <w:r>
              <w:rPr>
                <w:rFonts w:ascii="游ゴシック" w:cs="游ゴシック" w:eastAsia="游ゴシック" w:hAnsi="游ゴシック"/>
                <w:b/>
                <w:bCs/>
                <w:color w:val="FFFFFF"/>
                <w:sz w:val="19"/>
                <w:szCs w:val="19"/>
              </w:rPr>
              <w:t xml:space="preserve">名称・図書番号</w:t>
            </w:r>
          </w:p>
        </w:tc>
      </w:tr>
      <w:tr>
        <w:tc>
          <w:tcPr>
            <w:tcW w:type="dxa" w:w="3200"/>
            <w:shd w:fill="FFFFFF" w:color="auto" w:val="clear"/>
            <w:tcMar>
              <w:top w:type="dxa" w:w="50"/>
              <w:left w:type="dxa" w:w="100"/>
              <w:bottom w:type="dxa" w:w="50"/>
              <w:right w:type="dxa" w:w="100"/>
            </w:tcMar>
          </w:tcPr>
          <w:p>
            <w:pPr>
              <w:jc w:val="center"/>
            </w:pPr>
            <w:r>
              <w:rPr>
                <w:rFonts w:ascii="游明朝" w:cs="游明朝" w:eastAsia="游明朝" w:hAnsi="游明朝"/>
                <w:b w:val="false"/>
                <w:bCs w:val="false"/>
                <w:color w:val="000000"/>
                <w:sz w:val="19"/>
                <w:szCs w:val="19"/>
              </w:rPr>
              <w:t xml:space="preserve">機器仕様書</w:t>
            </w:r>
          </w:p>
        </w:tc>
        <w:tc>
          <w:tcPr>
            <w:tcW w:type="dxa" w:w="3800"/>
            <w:shd w:fill="FFFFFF" w:color="auto" w:val="clear"/>
            <w:tcMar>
              <w:top w:type="dxa" w:w="50"/>
              <w:left w:type="dxa" w:w="100"/>
              <w:bottom w:type="dxa" w:w="50"/>
              <w:right w:type="dxa" w:w="100"/>
            </w:tcMar>
          </w:tcPr>
          <w:p>
            <w:pPr>
              <w:jc w:val="left"/>
            </w:pPr>
            <w:r>
              <w:rPr>
                <w:rFonts w:ascii="游明朝" w:cs="游明朝" w:eastAsia="游明朝" w:hAnsi="游明朝"/>
                <w:b w:val="false"/>
                <w:bCs w:val="false"/>
                <w:color w:val="000000"/>
                <w:sz w:val="19"/>
                <w:szCs w:val="19"/>
              </w:rPr>
              <w:t xml:space="preserve">７ＦＧ１０１６９（Rev.6）</w:t>
            </w:r>
          </w:p>
        </w:tc>
      </w:tr>
      <w:tr>
        <w:tc>
          <w:tcPr>
            <w:tcW w:type="dxa" w:w="3200"/>
            <w:shd w:fill="EDF1F8" w:color="auto" w:val="clear"/>
            <w:tcMar>
              <w:top w:type="dxa" w:w="50"/>
              <w:left w:type="dxa" w:w="100"/>
              <w:bottom w:type="dxa" w:w="50"/>
              <w:right w:type="dxa" w:w="100"/>
            </w:tcMar>
          </w:tcPr>
          <w:p>
            <w:pPr>
              <w:jc w:val="center"/>
            </w:pPr>
            <w:r>
              <w:rPr>
                <w:rFonts w:ascii="游明朝" w:cs="游明朝" w:eastAsia="游明朝" w:hAnsi="游明朝"/>
                <w:b w:val="false"/>
                <w:bCs w:val="false"/>
                <w:color w:val="000000"/>
                <w:sz w:val="19"/>
                <w:szCs w:val="19"/>
              </w:rPr>
              <w:t xml:space="preserve">ソフト仕様書</w:t>
            </w:r>
          </w:p>
        </w:tc>
        <w:tc>
          <w:tcPr>
            <w:tcW w:type="dxa" w:w="3800"/>
            <w:shd w:fill="EDF1F8" w:color="auto" w:val="clear"/>
            <w:tcMar>
              <w:top w:type="dxa" w:w="50"/>
              <w:left w:type="dxa" w:w="100"/>
              <w:bottom w:type="dxa" w:w="50"/>
              <w:right w:type="dxa" w:w="100"/>
            </w:tcMar>
          </w:tcPr>
          <w:p>
            <w:pPr>
              <w:jc w:val="left"/>
            </w:pPr>
            <w:r>
              <w:rPr>
                <w:rFonts w:ascii="游明朝" w:cs="游明朝" w:eastAsia="游明朝" w:hAnsi="游明朝"/>
                <w:b w:val="false"/>
                <w:bCs w:val="false"/>
                <w:color w:val="000000"/>
                <w:sz w:val="19"/>
                <w:szCs w:val="19"/>
              </w:rPr>
              <w:t xml:space="preserve">ＰＬＣソフト仕様書（７ＦＳ系）</w:t>
            </w:r>
          </w:p>
        </w:tc>
      </w:tr>
      <w:tr>
        <w:tc>
          <w:tcPr>
            <w:tcW w:type="dxa" w:w="3200"/>
            <w:shd w:fill="FFFFFF" w:color="auto" w:val="clear"/>
            <w:tcMar>
              <w:top w:type="dxa" w:w="50"/>
              <w:left w:type="dxa" w:w="100"/>
              <w:bottom w:type="dxa" w:w="50"/>
              <w:right w:type="dxa" w:w="100"/>
            </w:tcMar>
          </w:tcPr>
          <w:p>
            <w:pPr>
              <w:jc w:val="center"/>
            </w:pPr>
            <w:r>
              <w:rPr>
                <w:rFonts w:ascii="游明朝" w:cs="游明朝" w:eastAsia="游明朝" w:hAnsi="游明朝"/>
                <w:b w:val="false"/>
                <w:bCs w:val="false"/>
                <w:color w:val="000000"/>
                <w:sz w:val="19"/>
                <w:szCs w:val="19"/>
              </w:rPr>
              <w:t xml:space="preserve">取扱説明書</w:t>
            </w:r>
          </w:p>
        </w:tc>
        <w:tc>
          <w:tcPr>
            <w:tcW w:type="dxa" w:w="3800"/>
            <w:shd w:fill="FFFFFF" w:color="auto" w:val="clear"/>
            <w:tcMar>
              <w:top w:type="dxa" w:w="50"/>
              <w:left w:type="dxa" w:w="100"/>
              <w:bottom w:type="dxa" w:w="50"/>
              <w:right w:type="dxa" w:w="100"/>
            </w:tcMar>
          </w:tcPr>
          <w:p>
            <w:pPr>
              <w:jc w:val="left"/>
            </w:pPr>
            <w:r>
              <w:rPr>
                <w:rFonts w:ascii="游明朝" w:cs="游明朝" w:eastAsia="游明朝" w:hAnsi="游明朝"/>
                <w:b w:val="false"/>
                <w:bCs w:val="false"/>
                <w:color w:val="000000"/>
                <w:sz w:val="19"/>
                <w:szCs w:val="19"/>
              </w:rPr>
              <w:t xml:space="preserve">７ＦＨ１０２３２</w:t>
            </w:r>
          </w:p>
        </w:tc>
      </w:tr>
    </w:tbl>
    <w:p>
      <w:r>
        <w:br w:type="page"/>
      </w:r>
    </w:p>
    <w:p>
      <w:pPr>
        <w:pStyle w:val="Heading1"/>
        <w:spacing w:after="140" w:before="260"/>
      </w:pPr>
      <w:r>
        <w:rPr>
          <w:rFonts w:ascii="游ゴシック" w:cs="游ゴシック" w:eastAsia="游ゴシック" w:hAnsi="游ゴシック"/>
          <w:b/>
          <w:bCs/>
          <w:color w:val="1F3864"/>
          <w:sz w:val="28"/>
          <w:szCs w:val="28"/>
        </w:rPr>
        <w:t xml:space="preserve">１．本書について</w:t>
      </w:r>
    </w:p>
    <w:p>
      <w:pPr>
        <w:spacing w:after="80" w:line="300"/>
      </w:pPr>
      <w:r>
        <w:rPr>
          <w:rFonts w:ascii="游明朝" w:cs="游明朝" w:eastAsia="游明朝" w:hAnsi="游明朝"/>
          <w:b w:val="false"/>
          <w:bCs w:val="false"/>
          <w:sz w:val="21"/>
          <w:szCs w:val="21"/>
        </w:rPr>
        <w:t xml:space="preserve">本書は、ＳＮＭゲートモニタの用語集に掲げられた用語について、機器仕様書・ソフト仕様書・取扱説明書の記載内容に基づき解説するものです。ここで扱う用語は、いずれも本装置が核物質（特定核燃料物質）から放出されるγ線を測定し、検知警報を発報するまでの「測定」と「警報判定」の過程で用いられる値・指標です。</w:t>
      </w:r>
    </w:p>
    <w:p>
      <w:pPr>
        <w:spacing w:after="80" w:line="300"/>
      </w:pPr>
      <w:r>
        <w:rPr>
          <w:rFonts w:ascii="游明朝" w:cs="游明朝" w:eastAsia="游明朝" w:hAnsi="游明朝"/>
          <w:b w:val="false"/>
          <w:bCs w:val="false"/>
          <w:sz w:val="21"/>
          <w:szCs w:val="21"/>
        </w:rPr>
        <w:t xml:space="preserve">各用語の相互関係を把握することで、制御盤ディスプレイの「モニタ」「測定履歴」画面に表示される数値や、「機器設定」画面での設定値の意味を正しく理解できます。用語ごとの詳細は第３章の一覧表を参照してください。</w:t>
      </w:r>
    </w:p>
    <w:p>
      <w:pPr>
        <w:pStyle w:val="Heading1"/>
        <w:spacing w:after="140" w:before="260"/>
      </w:pPr>
      <w:r>
        <w:rPr>
          <w:rFonts w:ascii="游ゴシック" w:cs="游ゴシック" w:eastAsia="游ゴシック" w:hAnsi="游ゴシック"/>
          <w:b/>
          <w:bCs/>
          <w:color w:val="1F3864"/>
          <w:sz w:val="28"/>
          <w:szCs w:val="28"/>
        </w:rPr>
        <w:t xml:space="preserve">２．測定の流れと用語の関係</w:t>
      </w:r>
    </w:p>
    <w:p>
      <w:pPr>
        <w:spacing w:after="80" w:line="300"/>
      </w:pPr>
      <w:r>
        <w:rPr>
          <w:rFonts w:ascii="游明朝" w:cs="游明朝" w:eastAsia="游明朝" w:hAnsi="游明朝"/>
          <w:b w:val="false"/>
          <w:bCs w:val="false"/>
          <w:sz w:val="21"/>
          <w:szCs w:val="21"/>
        </w:rPr>
        <w:t xml:space="preserve">本装置は、検出器ごとに 0.5 秒単位で計数を行い、これを積み上げて計数率へ換算します。人の通過を検知して測定を行い、背景成分を差し引いて核物質由来の成分を取り出し、放射能に換算したうえで警報の要否を判定します。主な用語は次の流れの中に位置づけられます。</w:t>
      </w:r>
    </w:p>
    <w:p>
      <w:pPr>
        <w:spacing w:after="70" w:line="276"/>
        <w:ind w:left="220"/>
      </w:pPr>
      <w:r>
        <w:rPr>
          <w:rFonts w:ascii="游ゴシック" w:cs="游ゴシック" w:eastAsia="游ゴシック" w:hAnsi="游ゴシック"/>
          <w:b/>
          <w:bCs/>
          <w:color w:val="1F3864"/>
          <w:sz w:val="20"/>
          <w:szCs w:val="20"/>
        </w:rPr>
        <w:t xml:space="preserve">① 待機（ＢＧ測定）</w:t>
      </w:r>
      <w:r>
        <w:rPr>
          <w:rFonts w:ascii="游明朝" w:cs="游明朝" w:eastAsia="游明朝" w:hAnsi="游明朝"/>
          <w:sz w:val="19"/>
          <w:szCs w:val="19"/>
        </w:rPr>
        <w:br/>
        <w:t xml:space="preserve">　… 人がいない状態で背景放射線を常時測定 → ＢＧカウント値・ＢＧ計数率</w:t>
      </w:r>
    </w:p>
    <w:p>
      <w:pPr>
        <w:spacing w:after="70" w:line="276"/>
        <w:ind w:left="220"/>
      </w:pPr>
      <w:r>
        <w:rPr>
          <w:rFonts w:ascii="游ゴシック" w:cs="游ゴシック" w:eastAsia="游ゴシック" w:hAnsi="游ゴシック"/>
          <w:b/>
          <w:bCs/>
          <w:color w:val="1F3864"/>
          <w:sz w:val="20"/>
          <w:szCs w:val="20"/>
        </w:rPr>
        <w:t xml:space="preserve">② 通過・測定（Gross）</w:t>
      </w:r>
      <w:r>
        <w:rPr>
          <w:rFonts w:ascii="游明朝" w:cs="游明朝" w:eastAsia="游明朝" w:hAnsi="游明朝"/>
          <w:sz w:val="19"/>
          <w:szCs w:val="19"/>
        </w:rPr>
        <w:br/>
        <w:t xml:space="preserve">　… 人がゲート内を通過する間の計数を測定 → Grossカウント値・Gross計数率</w:t>
      </w:r>
    </w:p>
    <w:p>
      <w:pPr>
        <w:spacing w:after="70" w:line="276"/>
        <w:ind w:left="220"/>
      </w:pPr>
      <w:r>
        <w:rPr>
          <w:rFonts w:ascii="游ゴシック" w:cs="游ゴシック" w:eastAsia="游ゴシック" w:hAnsi="游ゴシック"/>
          <w:b/>
          <w:bCs/>
          <w:color w:val="1F3864"/>
          <w:sz w:val="20"/>
          <w:szCs w:val="20"/>
        </w:rPr>
        <w:t xml:space="preserve">③ 正味成分の算出（Net）</w:t>
      </w:r>
      <w:r>
        <w:rPr>
          <w:rFonts w:ascii="游明朝" w:cs="游明朝" w:eastAsia="游明朝" w:hAnsi="游明朝"/>
          <w:sz w:val="19"/>
          <w:szCs w:val="19"/>
        </w:rPr>
        <w:br/>
        <w:t xml:space="preserve">　… Net計数率 ＝ Gross計数率 － ＢＧ計数率（背景を差し引いた正味の計数率）</w:t>
      </w:r>
    </w:p>
    <w:p>
      <w:pPr>
        <w:spacing w:after="70" w:line="276"/>
        <w:ind w:left="220"/>
      </w:pPr>
      <w:r>
        <w:rPr>
          <w:rFonts w:ascii="游ゴシック" w:cs="游ゴシック" w:eastAsia="游ゴシック" w:hAnsi="游ゴシック"/>
          <w:b/>
          <w:bCs/>
          <w:color w:val="1F3864"/>
          <w:sz w:val="20"/>
          <w:szCs w:val="20"/>
        </w:rPr>
        <w:t xml:space="preserve">④ 放射能換算</w:t>
      </w:r>
      <w:r>
        <w:rPr>
          <w:rFonts w:ascii="游明朝" w:cs="游明朝" w:eastAsia="游明朝" w:hAnsi="游明朝"/>
          <w:sz w:val="19"/>
          <w:szCs w:val="19"/>
        </w:rPr>
        <w:br/>
        <w:t xml:space="preserve">　… 放射能［Bq］＝ Net計数率 × 換算定数Ｋ（Ｋ＝1／機器効率）</w:t>
      </w:r>
    </w:p>
    <w:p>
      <w:pPr>
        <w:spacing w:after="70" w:line="276"/>
        <w:ind w:left="220"/>
      </w:pPr>
      <w:r>
        <w:rPr>
          <w:rFonts w:ascii="游ゴシック" w:cs="游ゴシック" w:eastAsia="游ゴシック" w:hAnsi="游ゴシック"/>
          <w:b/>
          <w:bCs/>
          <w:color w:val="1F3864"/>
          <w:sz w:val="20"/>
          <w:szCs w:val="20"/>
        </w:rPr>
        <w:t xml:space="preserve">⑤ 警報判定</w:t>
      </w:r>
      <w:r>
        <w:rPr>
          <w:rFonts w:ascii="游明朝" w:cs="游明朝" w:eastAsia="游明朝" w:hAnsi="游明朝"/>
          <w:sz w:val="19"/>
          <w:szCs w:val="19"/>
        </w:rPr>
        <w:br/>
        <w:t xml:space="preserve">　… ΣＸ／ΣＸ2／σ倍数 のいずれかの方式で警報設定値と比較し、検知／非検知を判定</w:t>
      </w:r>
    </w:p>
    <w:p>
      <w:pPr>
        <w:spacing w:after="40" w:line="300"/>
      </w:pPr>
      <w:r>
        <w:rPr>
          <w:rFonts w:ascii="游明朝" w:cs="游明朝" w:eastAsia="游明朝" w:hAnsi="游明朝"/>
          <w:b w:val="false"/>
          <w:bCs w:val="false"/>
          <w:color w:val="888888"/>
          <w:sz w:val="18"/>
          <w:szCs w:val="18"/>
        </w:rPr>
        <w:t xml:space="preserve">※ </w:t>
      </w:r>
      <w:r>
        <w:rPr>
          <w:rFonts w:ascii="游明朝" w:cs="游明朝" w:eastAsia="游明朝" w:hAnsi="游明朝"/>
          <w:b w:val="false"/>
          <w:bCs w:val="false"/>
          <w:color w:val="555555"/>
          <w:sz w:val="18"/>
          <w:szCs w:val="18"/>
        </w:rPr>
        <w:t xml:space="preserve">先頭に「Σ（シグマ）」が付く用語（ΣＢＧ計数率・ΣGross計数率・ΣNet計数率・Σ警報計数率・Σ放射能）は、いずれも「全検出器（最大10台）の値を合算した値」を意味します。</w:t>
      </w:r>
    </w:p>
    <w:p>
      <w:pPr>
        <w:spacing w:after="80" w:line="300"/>
      </w:pPr>
      <w:r>
        <w:rPr>
          <w:rFonts w:ascii="游明朝" w:cs="游明朝" w:eastAsia="游明朝" w:hAnsi="游明朝"/>
          <w:b w:val="false"/>
          <w:bCs w:val="false"/>
          <w:color w:val="888888"/>
          <w:sz w:val="18"/>
          <w:szCs w:val="18"/>
        </w:rPr>
        <w:t xml:space="preserve">※ </w:t>
      </w:r>
      <w:r>
        <w:rPr>
          <w:rFonts w:ascii="游明朝" w:cs="游明朝" w:eastAsia="游明朝" w:hAnsi="游明朝"/>
          <w:b w:val="false"/>
          <w:bCs w:val="false"/>
          <w:color w:val="555555"/>
          <w:sz w:val="18"/>
          <w:szCs w:val="18"/>
        </w:rPr>
        <w:t xml:space="preserve">「計数率」は単位時間あたりの計数（単位：s⁻¹＝毎秒の計数）、「カウント値」は測定時間中に積算した生の計数（単位：count）です。</w:t>
      </w:r>
    </w:p>
    <w:p>
      <w:r>
        <w:br w:type="page"/>
      </w:r>
    </w:p>
    <w:p>
      <w:pPr>
        <w:pStyle w:val="Heading1"/>
        <w:spacing w:after="140" w:before="260"/>
      </w:pPr>
      <w:r>
        <w:rPr>
          <w:rFonts w:ascii="游ゴシック" w:cs="游ゴシック" w:eastAsia="游ゴシック" w:hAnsi="游ゴシック"/>
          <w:b/>
          <w:bCs/>
          <w:color w:val="1F3864"/>
          <w:sz w:val="28"/>
          <w:szCs w:val="28"/>
        </w:rPr>
        <w:t xml:space="preserve">３．用語解説</w:t>
      </w:r>
    </w:p>
    <w:p>
      <w:pPr>
        <w:pStyle w:val="Heading2"/>
        <w:spacing w:after="100" w:before="180"/>
      </w:pPr>
      <w:r>
        <w:rPr>
          <w:rFonts w:ascii="游ゴシック" w:cs="游ゴシック" w:eastAsia="游ゴシック" w:hAnsi="游ゴシック"/>
          <w:b/>
          <w:bCs/>
          <w:color w:val="2E5496"/>
          <w:sz w:val="23"/>
          <w:szCs w:val="23"/>
        </w:rPr>
        <w:t xml:space="preserve">３．１　計数（カウント値・計数率）に関する用語</w:t>
      </w:r>
    </w:p>
    <w:tbl>
      <w:tblPr>
        <w:tblW w:type="dxa" w:w="9360"/>
        <w:tblBorders>
          <w:top w:val="single" w:color="9DB2D6" w:sz="4"/>
          <w:left w:val="single" w:color="9DB2D6" w:sz="4"/>
          <w:bottom w:val="single" w:color="9DB2D6" w:sz="4"/>
          <w:right w:val="single" w:color="9DB2D6" w:sz="4"/>
          <w:insideH w:val="single" w:color="C7D3E8" w:sz="4"/>
          <w:insideV w:val="single" w:color="C7D3E8" w:sz="4"/>
        </w:tblBorders>
      </w:tblPr>
      <w:tblGrid>
        <w:gridCol w:w="560"/>
        <w:gridCol w:w="1900"/>
        <w:gridCol w:w="1100"/>
        <w:gridCol w:w="5800"/>
      </w:tblGrid>
      <w:tr>
        <w:trPr>
          <w:tblHeader/>
        </w:trPr>
        <w:tc>
          <w:tcPr>
            <w:tcW w:type="dxa" w:w="56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No.</w:t>
            </w:r>
          </w:p>
        </w:tc>
        <w:tc>
          <w:tcPr>
            <w:tcW w:type="dxa" w:w="19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用語</w:t>
            </w:r>
          </w:p>
        </w:tc>
        <w:tc>
          <w:tcPr>
            <w:tcW w:type="dxa" w:w="11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単位</w:t>
            </w:r>
          </w:p>
        </w:tc>
        <w:tc>
          <w:tcPr>
            <w:tcW w:type="dxa" w:w="5800"/>
            <w:shd w:fill="1F3864" w:color="auto" w:val="clear"/>
            <w:tcMar>
              <w:top w:type="dxa" w:w="60"/>
              <w:left w:type="dxa" w:w="90"/>
              <w:bottom w:type="dxa" w:w="60"/>
              <w:right w:type="dxa" w:w="90"/>
            </w:tcMar>
          </w:tcPr>
          <w:p>
            <w:pPr>
              <w:jc w:val="left"/>
            </w:pPr>
            <w:r>
              <w:rPr>
                <w:rFonts w:ascii="游ゴシック" w:cs="游ゴシック" w:eastAsia="游ゴシック" w:hAnsi="游ゴシック"/>
                <w:b/>
                <w:bCs/>
                <w:color w:val="FFFFFF"/>
                <w:sz w:val="20"/>
                <w:szCs w:val="20"/>
              </w:rPr>
              <w:t xml:space="preserve">解　説</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7</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ＢＧ計数率</w:t>
            </w:r>
            <w:r>
              <w:rPr>
                <w:rFonts w:ascii="游明朝" w:cs="游明朝" w:eastAsia="游明朝" w:hAnsi="游明朝"/>
                <w:color w:val="5A5A5A"/>
                <w:sz w:val="15"/>
                <w:szCs w:val="15"/>
              </w:rPr>
              <w:br/>
              <w:t xml:space="preserve">
ビージーけいすうりつ</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バックグラウンド（ＢＧ：背景放射線）の計数率。人がいない待機状態で、検出器ごとに 0.5 秒ごとの計数を移動平均処理し、単位時間あたりの平均計数として算出・連続更新する。核物質検知時に正味成分（Net）を求める際の基準値となる。急激な上昇や設定上下限からの逸脱は機器異常（ＢＧ高／低）として扱われ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8</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ΣＢＧ計数率</w:t>
            </w:r>
            <w:r>
              <w:rPr>
                <w:rFonts w:ascii="游明朝" w:cs="游明朝" w:eastAsia="游明朝" w:hAnsi="游明朝"/>
                <w:color w:val="5A5A5A"/>
                <w:sz w:val="15"/>
                <w:szCs w:val="15"/>
              </w:rPr>
              <w:br/>
              <w:t xml:space="preserve">
シグマビージーけいすうりつ</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全検出器のＢＧ計数率を合算した値。検出感度計算で「全ＢＧ」を選択した場合や、装置全体（Σ）での判定・表示に用いる。</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9</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ＢＧカウント値</w:t>
            </w:r>
            <w:r>
              <w:rPr>
                <w:rFonts w:ascii="游明朝" w:cs="游明朝" w:eastAsia="游明朝" w:hAnsi="游明朝"/>
                <w:color w:val="5A5A5A"/>
                <w:sz w:val="15"/>
                <w:szCs w:val="15"/>
              </w:rPr>
              <w:br/>
              <w:t xml:space="preserve">
ビージーカウントち</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count</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ＢＧ測定における積算計数値。0.5 秒ごとの計数を 1 個の積算カウントとして扱い、測定時間分を積み上げた生のカウント数。これを測定時間で割るとＢＧ計数率になる。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12</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Gross計数率</w:t>
            </w:r>
            <w:r>
              <w:rPr>
                <w:rFonts w:ascii="游明朝" w:cs="游明朝" w:eastAsia="游明朝" w:hAnsi="游明朝"/>
                <w:color w:val="5A5A5A"/>
                <w:sz w:val="15"/>
                <w:szCs w:val="15"/>
              </w:rPr>
              <w:br/>
              <w:t xml:space="preserve">
グロスけいすうりつ</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人が装置内に入った状態（測定中）で測定した計数率。背景（ＢＧ）成分と核物質由来の成分の両方を含む「総計数率」。</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13</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ΣGross計数率</w:t>
            </w:r>
            <w:r>
              <w:rPr>
                <w:rFonts w:ascii="游明朝" w:cs="游明朝" w:eastAsia="游明朝" w:hAnsi="游明朝"/>
                <w:color w:val="5A5A5A"/>
                <w:sz w:val="15"/>
                <w:szCs w:val="15"/>
              </w:rPr>
              <w:br/>
              <w:t xml:space="preserve">
シグマグロスけいすうりつ</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全検出器のGross計数率を合算した値。</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14</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Grossカウント値</w:t>
            </w:r>
            <w:r>
              <w:rPr>
                <w:rFonts w:ascii="游明朝" w:cs="游明朝" w:eastAsia="游明朝" w:hAnsi="游明朝"/>
                <w:color w:val="5A5A5A"/>
                <w:sz w:val="15"/>
                <w:szCs w:val="15"/>
              </w:rPr>
              <w:br/>
              <w:t xml:space="preserve">
グロスカウントち</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count</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測定中に得られたGrossの積算計数値。Gross計数率へ換算する前の生の計数数。</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15</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Net計数率</w:t>
            </w:r>
            <w:r>
              <w:rPr>
                <w:rFonts w:ascii="游明朝" w:cs="游明朝" w:eastAsia="游明朝" w:hAnsi="游明朝"/>
                <w:color w:val="5A5A5A"/>
                <w:sz w:val="15"/>
                <w:szCs w:val="15"/>
              </w:rPr>
              <w:br/>
              <w:t xml:space="preserve">
ネットけいすうりつ／正味計数率</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Gross計数率からＢＧ計数率を差し引いた、核物質由来の正味の計数率。Net計数率 ＝ Gross計数率 － ＢＧ計数率。放射能換算および警報判定の基礎となる値。</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16</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ΣNet計数率</w:t>
            </w:r>
            <w:r>
              <w:rPr>
                <w:rFonts w:ascii="游明朝" w:cs="游明朝" w:eastAsia="游明朝" w:hAnsi="游明朝"/>
                <w:color w:val="5A5A5A"/>
                <w:sz w:val="15"/>
                <w:szCs w:val="15"/>
              </w:rPr>
              <w:br/>
              <w:t xml:space="preserve">
シグマネットけいすうりつ</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全検出器のNet計数率を合算した値。全体での警報判定（Σ警報計数率との比較）に用いる。</w:t>
            </w:r>
          </w:p>
        </w:tc>
      </w:tr>
    </w:tbl>
    <w:p>
      <w:pPr>
        <w:pStyle w:val="Heading2"/>
        <w:spacing w:after="100" w:before="180"/>
      </w:pPr>
      <w:r>
        <w:rPr>
          <w:rFonts w:ascii="游ゴシック" w:cs="游ゴシック" w:eastAsia="游ゴシック" w:hAnsi="游ゴシック"/>
          <w:b/>
          <w:bCs/>
          <w:color w:val="2E5496"/>
          <w:sz w:val="23"/>
          <w:szCs w:val="23"/>
        </w:rPr>
        <w:t xml:space="preserve">３．２　放射能に関する用語</w:t>
      </w:r>
    </w:p>
    <w:tbl>
      <w:tblPr>
        <w:tblW w:type="dxa" w:w="9360"/>
        <w:tblBorders>
          <w:top w:val="single" w:color="9DB2D6" w:sz="4"/>
          <w:left w:val="single" w:color="9DB2D6" w:sz="4"/>
          <w:bottom w:val="single" w:color="9DB2D6" w:sz="4"/>
          <w:right w:val="single" w:color="9DB2D6" w:sz="4"/>
          <w:insideH w:val="single" w:color="C7D3E8" w:sz="4"/>
          <w:insideV w:val="single" w:color="C7D3E8" w:sz="4"/>
        </w:tblBorders>
      </w:tblPr>
      <w:tblGrid>
        <w:gridCol w:w="560"/>
        <w:gridCol w:w="1900"/>
        <w:gridCol w:w="1100"/>
        <w:gridCol w:w="5800"/>
      </w:tblGrid>
      <w:tr>
        <w:trPr>
          <w:tblHeader/>
        </w:trPr>
        <w:tc>
          <w:tcPr>
            <w:tcW w:type="dxa" w:w="56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No.</w:t>
            </w:r>
          </w:p>
        </w:tc>
        <w:tc>
          <w:tcPr>
            <w:tcW w:type="dxa" w:w="19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用語</w:t>
            </w:r>
          </w:p>
        </w:tc>
        <w:tc>
          <w:tcPr>
            <w:tcW w:type="dxa" w:w="11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単位</w:t>
            </w:r>
          </w:p>
        </w:tc>
        <w:tc>
          <w:tcPr>
            <w:tcW w:type="dxa" w:w="5800"/>
            <w:shd w:fill="1F3864" w:color="auto" w:val="clear"/>
            <w:tcMar>
              <w:top w:type="dxa" w:w="60"/>
              <w:left w:type="dxa" w:w="90"/>
              <w:bottom w:type="dxa" w:w="60"/>
              <w:right w:type="dxa" w:w="90"/>
            </w:tcMar>
          </w:tcPr>
          <w:p>
            <w:pPr>
              <w:jc w:val="left"/>
            </w:pPr>
            <w:r>
              <w:rPr>
                <w:rFonts w:ascii="游ゴシック" w:cs="游ゴシック" w:eastAsia="游ゴシック" w:hAnsi="游ゴシック"/>
                <w:b/>
                <w:bCs/>
                <w:color w:val="FFFFFF"/>
                <w:sz w:val="20"/>
                <w:szCs w:val="20"/>
              </w:rPr>
              <w:t xml:space="preserve">解　説</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17</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放射能</w:t>
            </w:r>
            <w:r>
              <w:rPr>
                <w:rFonts w:ascii="游明朝" w:cs="游明朝" w:eastAsia="游明朝" w:hAnsi="游明朝"/>
                <w:color w:val="5A5A5A"/>
                <w:sz w:val="15"/>
                <w:szCs w:val="15"/>
              </w:rPr>
              <w:br/>
              <w:t xml:space="preserve">
ほうしゃのう</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Bq</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検出器が捉えた正味の計数（Net計数率）を、機器効率を用いて放射能［Bq＝ベクレル］に換算した値。放射能 ＝ Net計数率 × 換算定数Ｋ（Ｋ＝1／機器効率）。判定方式ΣＸでは各検出器の放射能を合算し、警報設定値と比較する。制御盤では「検知放射能」として前回値と比較表示できる。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18</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Σ放射能</w:t>
            </w:r>
            <w:r>
              <w:rPr>
                <w:rFonts w:ascii="游明朝" w:cs="游明朝" w:eastAsia="游明朝" w:hAnsi="游明朝"/>
                <w:color w:val="5A5A5A"/>
                <w:sz w:val="15"/>
                <w:szCs w:val="15"/>
              </w:rPr>
              <w:br/>
              <w:t xml:space="preserve">
シグマほうしゃのう</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Bq</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全検出器の放射能を合算した値。</w:t>
            </w:r>
          </w:p>
        </w:tc>
      </w:tr>
    </w:tbl>
    <w:p>
      <w:pPr>
        <w:pStyle w:val="Heading2"/>
        <w:spacing w:after="100" w:before="180"/>
      </w:pPr>
      <w:r>
        <w:rPr>
          <w:rFonts w:ascii="游ゴシック" w:cs="游ゴシック" w:eastAsia="游ゴシック" w:hAnsi="游ゴシック"/>
          <w:b/>
          <w:bCs/>
          <w:color w:val="2E5496"/>
          <w:sz w:val="23"/>
          <w:szCs w:val="23"/>
        </w:rPr>
        <w:t xml:space="preserve">３．３　効率・感度に関する用語</w:t>
      </w:r>
    </w:p>
    <w:tbl>
      <w:tblPr>
        <w:tblW w:type="dxa" w:w="9360"/>
        <w:tblBorders>
          <w:top w:val="single" w:color="9DB2D6" w:sz="4"/>
          <w:left w:val="single" w:color="9DB2D6" w:sz="4"/>
          <w:bottom w:val="single" w:color="9DB2D6" w:sz="4"/>
          <w:right w:val="single" w:color="9DB2D6" w:sz="4"/>
          <w:insideH w:val="single" w:color="C7D3E8" w:sz="4"/>
          <w:insideV w:val="single" w:color="C7D3E8" w:sz="4"/>
        </w:tblBorders>
      </w:tblPr>
      <w:tblGrid>
        <w:gridCol w:w="560"/>
        <w:gridCol w:w="1900"/>
        <w:gridCol w:w="1100"/>
        <w:gridCol w:w="5800"/>
      </w:tblGrid>
      <w:tr>
        <w:trPr>
          <w:tblHeader/>
        </w:trPr>
        <w:tc>
          <w:tcPr>
            <w:tcW w:type="dxa" w:w="56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No.</w:t>
            </w:r>
          </w:p>
        </w:tc>
        <w:tc>
          <w:tcPr>
            <w:tcW w:type="dxa" w:w="19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用語</w:t>
            </w:r>
          </w:p>
        </w:tc>
        <w:tc>
          <w:tcPr>
            <w:tcW w:type="dxa" w:w="11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単位</w:t>
            </w:r>
          </w:p>
        </w:tc>
        <w:tc>
          <w:tcPr>
            <w:tcW w:type="dxa" w:w="5800"/>
            <w:shd w:fill="1F3864" w:color="auto" w:val="clear"/>
            <w:tcMar>
              <w:top w:type="dxa" w:w="60"/>
              <w:left w:type="dxa" w:w="90"/>
              <w:bottom w:type="dxa" w:w="60"/>
              <w:right w:type="dxa" w:w="90"/>
            </w:tcMar>
          </w:tcPr>
          <w:p>
            <w:pPr>
              <w:jc w:val="left"/>
            </w:pPr>
            <w:r>
              <w:rPr>
                <w:rFonts w:ascii="游ゴシック" w:cs="游ゴシック" w:eastAsia="游ゴシック" w:hAnsi="游ゴシック"/>
                <w:b/>
                <w:bCs/>
                <w:color w:val="FFFFFF"/>
                <w:sz w:val="20"/>
                <w:szCs w:val="20"/>
              </w:rPr>
              <w:t xml:space="preserve">解　説</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5</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機器効率</w:t>
            </w:r>
            <w:r>
              <w:rPr>
                <w:rFonts w:ascii="游明朝" w:cs="游明朝" w:eastAsia="游明朝" w:hAnsi="游明朝"/>
                <w:color w:val="5A5A5A"/>
                <w:sz w:val="15"/>
                <w:szCs w:val="15"/>
              </w:rPr>
              <w:br/>
              <w:t xml:space="preserve">
ききこうりつ　εi</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0.00001～1.00000</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検出器が放射線をどれだけの効率で計数へ変換できるかを表す係数（εi）。個々の検出器について、既知の線源放出率［Bq］と実測計数値から算出する（検出器照射試験・スケーラ測定により設定）。検出感度演算では、その逆数（換算定数Ｋ＝1／εi）を放射能換算に用い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6</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装置機器効率</w:t>
            </w:r>
            <w:r>
              <w:rPr>
                <w:rFonts w:ascii="游明朝" w:cs="游明朝" w:eastAsia="游明朝" w:hAnsi="游明朝"/>
                <w:color w:val="5A5A5A"/>
                <w:sz w:val="15"/>
                <w:szCs w:val="15"/>
              </w:rPr>
              <w:br/>
              <w:t xml:space="preserve">
そうちききこうりつ</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0.001～1.000</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装置全体（全検出器をまとめた系）としての機器効率。測定時間演算設定で「全効率」を選んだ場合に検出感度計算へ用いる。各検出器個別の機器効率に対し、装置一括の効率として設定する値。</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19</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感度</w:t>
            </w:r>
            <w:r>
              <w:rPr>
                <w:rFonts w:ascii="游明朝" w:cs="游明朝" w:eastAsia="游明朝" w:hAnsi="游明朝"/>
                <w:color w:val="5A5A5A"/>
                <w:sz w:val="15"/>
                <w:szCs w:val="15"/>
              </w:rPr>
              <w:br/>
              <w:t xml:space="preserve">
かんど（検出感度Ｙ）</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Bq</w:t>
            </w:r>
          </w:p>
        </w:tc>
        <w:tc>
          <w:tcPr>
            <w:tcW w:type="dxa" w:w="5800"/>
            <w:shd w:fill="FFFFFF" w:color="auto" w:val="clear"/>
            <w:tcMar>
              <w:top w:type="dxa" w:w="60"/>
              <w:left w:type="dxa" w:w="90"/>
              <w:bottom w:type="dxa" w:w="60"/>
              <w:right w:type="dxa" w:w="90"/>
            </w:tcMar>
            <w:vAlign w:val="center"/>
          </w:tcPr>
          <w:p>
            <w:pPr>
              <w:spacing w:after="40" w:line="264"/>
            </w:pPr>
            <w:r>
              <w:rPr>
                <w:rFonts w:ascii="游明朝" w:cs="游明朝" w:eastAsia="游明朝" w:hAnsi="游明朝"/>
                <w:sz w:val="19"/>
                <w:szCs w:val="19"/>
              </w:rPr>
              <w:t xml:space="preserve">その測定条件下で検知できる最小の放射能を表す指標（検出感度Ｙ）。換算定数Ｋ、測定時間Ｔｓ、ＢＧ測定時間Ｔｂ、ＢＧ計数率Ｎｂから所定の式で算出される。値が小さいほど微量の核物質を検知できる。</w:t>
            </w:r>
          </w:p>
          <w:p>
            <w:pPr>
              <w:spacing w:after="0" w:line="264"/>
            </w:pPr>
            <w:r>
              <w:rPr>
                <w:rFonts w:ascii="游明朝" w:cs="游明朝" w:eastAsia="游明朝" w:hAnsi="游明朝"/>
                <w:sz w:val="19"/>
                <w:szCs w:val="19"/>
              </w:rPr>
              <w:t xml:space="preserve">ＢＧ更新ごとに各検出器の検出感度が演算され、設定検出感度Ｃと比較して必要な測定時間Ｔｓが自動更新される（測定時間自動設定時）。</w:t>
            </w:r>
          </w:p>
        </w:tc>
      </w:tr>
    </w:tbl>
    <w:p>
      <w:pPr>
        <w:pStyle w:val="Heading2"/>
        <w:spacing w:after="100" w:before="180"/>
      </w:pPr>
      <w:r>
        <w:rPr>
          <w:rFonts w:ascii="游ゴシック" w:cs="游ゴシック" w:eastAsia="游ゴシック" w:hAnsi="游ゴシック"/>
          <w:b/>
          <w:bCs/>
          <w:color w:val="2E5496"/>
          <w:sz w:val="23"/>
          <w:szCs w:val="23"/>
        </w:rPr>
        <w:t xml:space="preserve">３．４　警報判定方式に関する用語</w:t>
      </w:r>
    </w:p>
    <w:tbl>
      <w:tblPr>
        <w:tblW w:type="dxa" w:w="9360"/>
        <w:tblBorders>
          <w:top w:val="single" w:color="9DB2D6" w:sz="4"/>
          <w:left w:val="single" w:color="9DB2D6" w:sz="4"/>
          <w:bottom w:val="single" w:color="9DB2D6" w:sz="4"/>
          <w:right w:val="single" w:color="9DB2D6" w:sz="4"/>
          <w:insideH w:val="single" w:color="C7D3E8" w:sz="4"/>
          <w:insideV w:val="single" w:color="C7D3E8" w:sz="4"/>
        </w:tblBorders>
      </w:tblPr>
      <w:tblGrid>
        <w:gridCol w:w="560"/>
        <w:gridCol w:w="1900"/>
        <w:gridCol w:w="1100"/>
        <w:gridCol w:w="5800"/>
      </w:tblGrid>
      <w:tr>
        <w:trPr>
          <w:tblHeader/>
        </w:trPr>
        <w:tc>
          <w:tcPr>
            <w:tcW w:type="dxa" w:w="56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No.</w:t>
            </w:r>
          </w:p>
        </w:tc>
        <w:tc>
          <w:tcPr>
            <w:tcW w:type="dxa" w:w="19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用語</w:t>
            </w:r>
          </w:p>
        </w:tc>
        <w:tc>
          <w:tcPr>
            <w:tcW w:type="dxa" w:w="1100"/>
            <w:shd w:fill="1F3864" w:color="auto" w:val="clear"/>
            <w:tcMar>
              <w:top w:type="dxa" w:w="60"/>
              <w:left w:type="dxa" w:w="90"/>
              <w:bottom w:type="dxa" w:w="60"/>
              <w:right w:type="dxa" w:w="90"/>
            </w:tcMar>
          </w:tcPr>
          <w:p>
            <w:pPr>
              <w:jc w:val="center"/>
            </w:pPr>
            <w:r>
              <w:rPr>
                <w:rFonts w:ascii="游ゴシック" w:cs="游ゴシック" w:eastAsia="游ゴシック" w:hAnsi="游ゴシック"/>
                <w:b/>
                <w:bCs/>
                <w:color w:val="FFFFFF"/>
                <w:sz w:val="20"/>
                <w:szCs w:val="20"/>
              </w:rPr>
              <w:t xml:space="preserve">単位</w:t>
            </w:r>
          </w:p>
        </w:tc>
        <w:tc>
          <w:tcPr>
            <w:tcW w:type="dxa" w:w="5800"/>
            <w:shd w:fill="1F3864" w:color="auto" w:val="clear"/>
            <w:tcMar>
              <w:top w:type="dxa" w:w="60"/>
              <w:left w:type="dxa" w:w="90"/>
              <w:bottom w:type="dxa" w:w="60"/>
              <w:right w:type="dxa" w:w="90"/>
            </w:tcMar>
          </w:tcPr>
          <w:p>
            <w:pPr>
              <w:jc w:val="left"/>
            </w:pPr>
            <w:r>
              <w:rPr>
                <w:rFonts w:ascii="游ゴシック" w:cs="游ゴシック" w:eastAsia="游ゴシック" w:hAnsi="游ゴシック"/>
                <w:b/>
                <w:bCs/>
                <w:color w:val="FFFFFF"/>
                <w:sz w:val="20"/>
                <w:szCs w:val="20"/>
              </w:rPr>
              <w:t xml:space="preserve">解　説</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ΣＸ</w:t>
            </w:r>
            <w:r>
              <w:rPr>
                <w:rFonts w:ascii="游明朝" w:cs="游明朝" w:eastAsia="游明朝" w:hAnsi="游明朝"/>
                <w:color w:val="5A5A5A"/>
                <w:sz w:val="15"/>
                <w:szCs w:val="15"/>
              </w:rPr>
              <w:br/>
              <w:t xml:space="preserve">
シグマエックス</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警報判定種別の一つ。各検出器が検出した放射能［Bq］を全チャンネル（設定台数分、最大 CH1～10）合算し、その合算値が警報設定値以上のとき「検知」と判定する方式。各検出器で個別に放射能へ換算してから合算する点が特徴。</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2</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ΣＸ2</w:t>
            </w:r>
            <w:r>
              <w:rPr>
                <w:rFonts w:ascii="游明朝" w:cs="游明朝" w:eastAsia="游明朝" w:hAnsi="游明朝"/>
                <w:color w:val="5A5A5A"/>
                <w:sz w:val="15"/>
                <w:szCs w:val="15"/>
              </w:rPr>
              <w:br/>
              <w:t xml:space="preserve">
シグマエックスじじょう／エックスツー</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警報判定種別の一つ。全検出器のそれぞれの計数率を先に合計し、その合計計数率から放射能［Bq］を計算して、警報設定値以上のとき「検知」と判定する方式。計数率を合算してから放射能換算する点でΣＸと異なる。</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3</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σ倍数</w:t>
            </w:r>
            <w:r>
              <w:rPr>
                <w:rFonts w:ascii="游明朝" w:cs="游明朝" w:eastAsia="游明朝" w:hAnsi="游明朝"/>
                <w:color w:val="5A5A5A"/>
                <w:sz w:val="15"/>
                <w:szCs w:val="15"/>
              </w:rPr>
              <w:br/>
              <w:t xml:space="preserve">
シグマばいすう</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警報判定種別の一つ。ＢＧ計数率の統計的ばらつき（標準偏差σ）に基づいて警報のしきい値（警報計数率）を算出し、実測のNet計数率と比較して警報判定を行う方式。各検出器ごとと全検出器（Σ）の双方で判定す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4</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ＢＧσ倍数</w:t>
            </w:r>
            <w:r>
              <w:rPr>
                <w:rFonts w:ascii="游明朝" w:cs="游明朝" w:eastAsia="游明朝" w:hAnsi="游明朝"/>
                <w:color w:val="5A5A5A"/>
                <w:sz w:val="15"/>
                <w:szCs w:val="15"/>
              </w:rPr>
              <w:br/>
              <w:t xml:space="preserve">
ビージーシグマばいすう</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1.00～5.00</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σ倍数方式で警報レベルを決める際に、ＢＧ計数率の標準偏差σへ掛ける倍数（係数）。各ch・Σそれぞれ 1.00～5.00 の範囲で設定する。大きくすると背景変動に対して鈍感になり誤警報が減り、小さくすると感度が高くなる。</w:t>
            </w:r>
          </w:p>
        </w:tc>
      </w:tr>
      <w:tr>
        <w:tc>
          <w:tcPr>
            <w:tcW w:type="dxa" w:w="560"/>
            <w:shd w:fill="EDF1F8"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10</w:t>
            </w:r>
          </w:p>
        </w:tc>
        <w:tc>
          <w:tcPr>
            <w:tcW w:type="dxa" w:w="1900"/>
            <w:shd w:fill="EDF1F8"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警報計数率</w:t>
            </w:r>
            <w:r>
              <w:rPr>
                <w:rFonts w:ascii="游明朝" w:cs="游明朝" w:eastAsia="游明朝" w:hAnsi="游明朝"/>
                <w:color w:val="5A5A5A"/>
                <w:sz w:val="15"/>
                <w:szCs w:val="15"/>
              </w:rPr>
              <w:br/>
              <w:t xml:space="preserve">
けいほうけいすうりつ</w:t>
            </w:r>
          </w:p>
        </w:tc>
        <w:tc>
          <w:tcPr>
            <w:tcW w:type="dxa" w:w="1100"/>
            <w:shd w:fill="EDF1F8"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EDF1F8"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σ倍数方式で用いる、警報判定のしきい値となる計数率。各検出器のＢＧ計数率とＢＧσ倍数から算出され、Net計数率がこれを超えると「検知」と判定する。警報判定種別を「σ倍数」にしたときのみ警報判定に使用される。</w:t>
            </w:r>
          </w:p>
        </w:tc>
      </w:tr>
      <w:tr>
        <w:tc>
          <w:tcPr>
            <w:tcW w:type="dxa" w:w="560"/>
            <w:shd w:fill="FFFFFF" w:color="auto" w:val="clear"/>
            <w:tcMar>
              <w:top w:type="dxa" w:w="60"/>
              <w:left w:type="dxa" w:w="90"/>
              <w:bottom w:type="dxa" w:w="60"/>
              <w:right w:type="dxa" w:w="90"/>
            </w:tcMar>
            <w:vAlign w:val="center"/>
          </w:tcPr>
          <w:p>
            <w:pPr>
              <w:jc w:val="center"/>
            </w:pPr>
            <w:r>
              <w:rPr>
                <w:rFonts w:ascii="游ゴシック" w:cs="游ゴシック" w:eastAsia="游ゴシック" w:hAnsi="游ゴシック"/>
                <w:sz w:val="19"/>
                <w:szCs w:val="19"/>
              </w:rPr>
              <w:t xml:space="preserve">11</w:t>
            </w:r>
          </w:p>
        </w:tc>
        <w:tc>
          <w:tcPr>
            <w:tcW w:type="dxa" w:w="1900"/>
            <w:shd w:fill="FFFFFF" w:color="auto" w:val="clear"/>
            <w:tcMar>
              <w:top w:type="dxa" w:w="60"/>
              <w:left w:type="dxa" w:w="90"/>
              <w:bottom w:type="dxa" w:w="60"/>
              <w:right w:type="dxa" w:w="90"/>
            </w:tcMar>
            <w:vAlign w:val="center"/>
          </w:tcPr>
          <w:p>
            <w:r>
              <w:rPr>
                <w:rFonts w:ascii="游ゴシック" w:cs="游ゴシック" w:eastAsia="游ゴシック" w:hAnsi="游ゴシック"/>
                <w:b/>
                <w:bCs/>
                <w:sz w:val="20"/>
                <w:szCs w:val="20"/>
              </w:rPr>
              <w:t xml:space="preserve">Σ警報計数率</w:t>
            </w:r>
            <w:r>
              <w:rPr>
                <w:rFonts w:ascii="游明朝" w:cs="游明朝" w:eastAsia="游明朝" w:hAnsi="游明朝"/>
                <w:color w:val="5A5A5A"/>
                <w:sz w:val="15"/>
                <w:szCs w:val="15"/>
              </w:rPr>
              <w:br/>
              <w:t xml:space="preserve">
シグマけいほうけいすうりつ</w:t>
            </w:r>
          </w:p>
        </w:tc>
        <w:tc>
          <w:tcPr>
            <w:tcW w:type="dxa" w:w="1100"/>
            <w:shd w:fill="FFFFFF" w:color="auto" w:val="clear"/>
            <w:tcMar>
              <w:top w:type="dxa" w:w="60"/>
              <w:left w:type="dxa" w:w="90"/>
              <w:bottom w:type="dxa" w:w="60"/>
              <w:right w:type="dxa" w:w="90"/>
            </w:tcMar>
            <w:vAlign w:val="center"/>
          </w:tcPr>
          <w:p>
            <w:pPr>
              <w:jc w:val="center"/>
            </w:pPr>
            <w:r>
              <w:rPr>
                <w:rFonts w:ascii="游明朝" w:cs="游明朝" w:eastAsia="游明朝" w:hAnsi="游明朝"/>
                <w:sz w:val="18"/>
                <w:szCs w:val="18"/>
              </w:rPr>
              <w:t xml:space="preserve">s⁻¹</w:t>
            </w:r>
          </w:p>
        </w:tc>
        <w:tc>
          <w:tcPr>
            <w:tcW w:type="dxa" w:w="5800"/>
            <w:shd w:fill="FFFFFF" w:color="auto" w:val="clear"/>
            <w:tcMar>
              <w:top w:type="dxa" w:w="60"/>
              <w:left w:type="dxa" w:w="90"/>
              <w:bottom w:type="dxa" w:w="60"/>
              <w:right w:type="dxa" w:w="90"/>
            </w:tcMar>
            <w:vAlign w:val="center"/>
          </w:tcPr>
          <w:p>
            <w:pPr>
              <w:spacing w:after="0" w:line="264"/>
            </w:pPr>
            <w:r>
              <w:rPr>
                <w:rFonts w:ascii="游明朝" w:cs="游明朝" w:eastAsia="游明朝" w:hAnsi="游明朝"/>
                <w:sz w:val="19"/>
                <w:szCs w:val="19"/>
              </w:rPr>
              <w:t xml:space="preserve">全検出器を合算した警報計数率。ΣNet計数率と比較して、装置全体での警報判定に用いる。</w:t>
            </w:r>
          </w:p>
        </w:tc>
      </w:tr>
    </w:tbl>
    <w:p>
      <w:pPr>
        <w:pStyle w:val="Heading1"/>
        <w:spacing w:after="140" w:before="260"/>
      </w:pPr>
      <w:r>
        <w:rPr>
          <w:rFonts w:ascii="游ゴシック" w:cs="游ゴシック" w:eastAsia="游ゴシック" w:hAnsi="游ゴシック"/>
          <w:b/>
          <w:bCs/>
          <w:color w:val="1F3864"/>
          <w:sz w:val="28"/>
          <w:szCs w:val="28"/>
        </w:rPr>
        <w:t xml:space="preserve">４．補足（主要な関係式）</w:t>
      </w:r>
    </w:p>
    <w:p>
      <w:pPr>
        <w:spacing w:after="90" w:line="288"/>
        <w:ind w:left="240"/>
      </w:pPr>
      <w:r>
        <w:rPr>
          <w:rFonts w:ascii="游ゴシック" w:cs="游ゴシック" w:eastAsia="游ゴシック" w:hAnsi="游ゴシック"/>
          <w:b/>
          <w:bCs/>
          <w:color w:val="1F3864"/>
          <w:sz w:val="20"/>
          <w:szCs w:val="20"/>
        </w:rPr>
        <w:t xml:space="preserve">・ </w:t>
      </w:r>
      <w:r>
        <w:rPr>
          <w:rFonts w:ascii="游ゴシック" w:cs="游ゴシック" w:eastAsia="游ゴシック" w:hAnsi="游ゴシック"/>
          <w:sz w:val="20"/>
          <w:szCs w:val="20"/>
        </w:rPr>
        <w:t xml:space="preserve">Net計数率 ＝ Gross計数率 － ＢＧ計数率</w:t>
      </w:r>
    </w:p>
    <w:p>
      <w:pPr>
        <w:spacing w:after="90" w:line="288"/>
        <w:ind w:left="240"/>
      </w:pPr>
      <w:r>
        <w:rPr>
          <w:rFonts w:ascii="游ゴシック" w:cs="游ゴシック" w:eastAsia="游ゴシック" w:hAnsi="游ゴシック"/>
          <w:b/>
          <w:bCs/>
          <w:color w:val="1F3864"/>
          <w:sz w:val="20"/>
          <w:szCs w:val="20"/>
        </w:rPr>
        <w:t xml:space="preserve">・ </w:t>
      </w:r>
      <w:r>
        <w:rPr>
          <w:rFonts w:ascii="游ゴシック" w:cs="游ゴシック" w:eastAsia="游ゴシック" w:hAnsi="游ゴシック"/>
          <w:sz w:val="20"/>
          <w:szCs w:val="20"/>
        </w:rPr>
        <w:t xml:space="preserve">放射能［Bq］ ＝ Net計数率 × 換算定数Ｋ　（Ｋ ＝ 1 ／ 機器効率εi）</w:t>
      </w:r>
    </w:p>
    <w:p>
      <w:pPr>
        <w:spacing w:after="90" w:line="288"/>
        <w:ind w:left="240"/>
      </w:pPr>
      <w:r>
        <w:rPr>
          <w:rFonts w:ascii="游ゴシック" w:cs="游ゴシック" w:eastAsia="游ゴシック" w:hAnsi="游ゴシック"/>
          <w:b/>
          <w:bCs/>
          <w:color w:val="1F3864"/>
          <w:sz w:val="20"/>
          <w:szCs w:val="20"/>
        </w:rPr>
        <w:t xml:space="preserve">・ </w:t>
      </w:r>
      <w:r>
        <w:rPr>
          <w:rFonts w:ascii="游ゴシック" w:cs="游ゴシック" w:eastAsia="游ゴシック" w:hAnsi="游ゴシック"/>
          <w:sz w:val="20"/>
          <w:szCs w:val="20"/>
        </w:rPr>
        <w:t xml:space="preserve">Σ○○（計数率・放射能等） ＝ 全検出器（最大10台）の○○の合算値</w:t>
      </w:r>
    </w:p>
    <w:p>
      <w:pPr>
        <w:spacing w:after="90" w:line="288"/>
        <w:ind w:left="240"/>
      </w:pPr>
      <w:r>
        <w:rPr>
          <w:rFonts w:ascii="游ゴシック" w:cs="游ゴシック" w:eastAsia="游ゴシック" w:hAnsi="游ゴシック"/>
          <w:b/>
          <w:bCs/>
          <w:color w:val="1F3864"/>
          <w:sz w:val="20"/>
          <w:szCs w:val="20"/>
        </w:rPr>
        <w:t xml:space="preserve">・ </w:t>
      </w:r>
      <w:r>
        <w:rPr>
          <w:rFonts w:ascii="游ゴシック" w:cs="游ゴシック" w:eastAsia="游ゴシック" w:hAnsi="游ゴシック"/>
          <w:sz w:val="20"/>
          <w:szCs w:val="20"/>
        </w:rPr>
        <w:t xml:space="preserve">計数率［s⁻¹］ ＝ カウント値［count］ ÷ 測定時間［s］</w:t>
      </w:r>
    </w:p>
    <w:p>
      <w:pPr>
        <w:spacing w:after="80" w:before="120" w:line="300"/>
      </w:pPr>
      <w:r>
        <w:rPr>
          <w:rFonts w:ascii="游明朝" w:cs="游明朝" w:eastAsia="游明朝" w:hAnsi="游明朝"/>
          <w:b w:val="false"/>
          <w:bCs w:val="false"/>
          <w:color w:val="555555"/>
          <w:sz w:val="18"/>
          <w:szCs w:val="18"/>
        </w:rPr>
        <w:t xml:space="preserve">※ 上表の設定範囲・単位は各仕様書（機器仕様書７ＦＧ１０１６９、取扱説明書７ＦＨ１０２３２、ＰＬＣソフト仕様書）の記載に基づきます。検出感度Ｙの算出式の詳細は、ソフト仕様書の検出感度演算の記載を参照してください。</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ＳＮＭゲートモニタ 用語解説書</dc:title>
  <dc:creator>日本放射線エンジニアリング株式会社</dc:creator>
  <cp:lastModifiedBy>Un-named</cp:lastModifiedBy>
  <cp:revision>1</cp:revision>
  <dcterms:created xsi:type="dcterms:W3CDTF">2026-07-22T01:31:18.862Z</dcterms:created>
  <dcterms:modified xsi:type="dcterms:W3CDTF">2026-07-22T01:31:18.862Z</dcterms:modified>
</cp:coreProperties>
</file>

<file path=docProps/custom.xml><?xml version="1.0" encoding="utf-8"?>
<Properties xmlns="http://schemas.openxmlformats.org/officeDocument/2006/custom-properties" xmlns:vt="http://schemas.openxmlformats.org/officeDocument/2006/docPropsVTypes"/>
</file>