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1696F" w:val="clear"/>
        <w:spacing w:after="60" w:before="200"/>
        <w:jc w:val="center"/>
      </w:pPr>
      <w:r>
        <w:rPr>
          <w:rFonts w:ascii="Calibri" w:cs="Calibri" w:eastAsia="Calibri" w:hAnsi="Calibri"/>
          <w:b/>
          <w:bCs/>
          <w:color w:val="FFFFFF"/>
          <w:sz w:val="40"/>
          <w:szCs w:val="40"/>
        </w:rPr>
        <w:t xml:space="preserve">H. pylori – Standardsätze Arztbrief</w:t>
      </w:r>
    </w:p>
    <w:p>
      <w:pPr>
        <w:shd w:fill="01696F" w:val="clear"/>
        <w:spacing w:after="60" w:before="0"/>
        <w:jc w:val="center"/>
      </w:pPr>
      <w:r>
        <w:rPr>
          <w:rFonts w:ascii="Calibri" w:cs="Calibri" w:eastAsia="Calibri" w:hAnsi="Calibri"/>
          <w:i/>
          <w:iCs/>
          <w:color w:val="CCE9EA"/>
          <w:sz w:val="20"/>
          <w:szCs w:val="20"/>
        </w:rPr>
        <w:t xml:space="preserve">Dr. med. K. Koschny · Gastroenterologie · GFGB 2026</w:t>
      </w:r>
    </w:p>
    <w:p>
      <w:pPr>
        <w:spacing w:after="0" w:before="240"/>
      </w:pP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Diese Sammlung enthält evidenzbasierte Textbausteine für vier klinische Szenarien. Alle Formulierungen entsprechen den aktuellen Leitlinien (Maastricht VI 2022 / S3-Leitlinie Magenkarzinom 2023 / RKI-Empfehlungen). Die Bausteine können direkt in Arztbriefe eingefügt und bei Bedarf individuell angepasst werden.</w:t>
      </w:r>
    </w:p>
    <w:p>
      <w:pPr>
        <w:spacing w:after="0" w:before="160"/>
      </w:pPr>
    </w:p>
    <w:p>
      <w:pPr>
        <w:pBdr>
          <w:bottom w:val="single" w:color="D4D1CA" w:sz="6"/>
        </w:pBdr>
        <w:spacing w:after="120" w:before="120"/>
      </w:pPr>
    </w:p>
    <w:p>
      <w:pPr>
        <w:shd w:fill="01696F" w:val="clear"/>
        <w:spacing w:after="0" w:before="34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BAUSTEIN 1 – Erstgradigverwandte bei Magenkarzinom in der Familie</w:t>
      </w:r>
    </w:p>
    <w:p>
      <w:pPr>
        <w:spacing w:after="0" w:before="80"/>
      </w:pP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474D"/>
          <w:sz w:val="24"/>
          <w:szCs w:val="24"/>
        </w:rPr>
        <w:t xml:space="preserve">Klinische Situation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Patient:in hat einen erstgradig Verwandten mit gesichertem Magenkarzinom (Elternteil, Geschwister, Kind). H. pylori-Infektionsstatus des/der Patient:in ist unbekannt oder positiv.</w:t>
      </w:r>
    </w:p>
    <w:p>
      <w:pPr>
        <w:spacing w:after="0" w:before="80"/>
      </w:pP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474D"/>
          <w:sz w:val="24"/>
          <w:szCs w:val="24"/>
        </w:rPr>
        <w:t xml:space="preserve">Evidenzlage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Choi et al. (NEJM 2020, n = 1.676): H.-pylori-Eradikation bei Erstgradigverwandten von Magenkarzinom-Patient:innen reduziert das Magenkarzinom-Risiko um 73 % (HR 0,27; 95 % CI 0,10–0,70). Maastricht VI (2022), Statement 13: Test-and-Treat ist für diese Gruppe explizit empfohlen.</w:t>
      </w:r>
    </w:p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1B474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8"/>
                <w:szCs w:val="18"/>
              </w:rPr>
              <w:t xml:space="preserve">TEXTBAUSTEIN – DIREKT VERWENDBAR</w:t>
            </w:r>
          </w:p>
        </w:tc>
      </w:tr>
      <w:tr>
        <w:tc>
          <w:tcPr>
            <w:tcW w:type="dxa" w:w="9026"/>
            <w:tcBorders>
              <w:top w:val="nil" w:color="FFFFFF" w:sz="0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Befund/Empfehlung: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Bei bekannter familiärer Belastung durch ein Magenkarzinom (Erstgradigverwandte/r betroffen)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empfehlen wir leitliniengerecht ein H.-pylori-Screening. Ein positiver Nachweis sollte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konsequent eradiziert werden (Test-and-Treat-Strategie, Maastricht VI 2022).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Wir bitten, Herrn/Frau [Name] zur weiteren Diagnostik einzubestellen: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  • Nicht-invasiv: ¹³C-Harnstoff-Atemtest (Mittel der Wahl)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  • Alternativ: H.-pylori-Stuhl-Antigen (Sensitivität/Spezifität &gt;95 %)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  • Cave: Abstand zu PPI ≥2 Wochen, Abstand zu Antibiotika ≥4 Wochen vor dem Test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Bei Nachweis einer Infektion: Eradikationstherapie nach aktuellem Schema + Eradikationskontrolle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single" w:color="1B474D" w:sz="2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(¹³C-Atemtest frühestens 4 Wochen nach Therapieende).</w:t>
            </w:r>
          </w:p>
        </w:tc>
      </w:tr>
    </w:tbl>
    <w:p>
      <w:pPr>
        <w:spacing w:after="0" w:before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1B474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Kernaussage</w:t>
            </w:r>
          </w:p>
        </w:tc>
      </w:tr>
      <w:tr>
        <w:tc>
          <w:tcPr>
            <w:tcW w:type="dxa" w:w="9026"/>
            <w:tcBorders>
              <w:top w:val="nil" w:color="FFFFFF" w:sz="0"/>
              <w:left w:val="single" w:color="1B474D" w:sz="2"/>
              <w:bottom w:val="single" w:color="D4D1CA" w:sz="1"/>
              <w:right w:val="single" w:color="1B474D" w:sz="2"/>
            </w:tcBorders>
            <w:shd w:fill="EEF7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8251D"/>
                <w:sz w:val="20"/>
                <w:szCs w:val="20"/>
              </w:rPr>
              <w:t xml:space="preserve">→  Erstgradigverwandte von Magenkarzinom-Patient:innen: Test-and-Treat ist Standard (Maastricht VI, NEJM 2020)</w:t>
            </w:r>
          </w:p>
        </w:tc>
      </w:tr>
      <w:tr>
        <w:tc>
          <w:tcPr>
            <w:tcW w:type="dxa" w:w="9026"/>
            <w:tcBorders>
              <w:top w:val="nil" w:color="FFFFFF" w:sz="0"/>
              <w:left w:val="single" w:color="1B474D" w:sz="2"/>
              <w:bottom w:val="single" w:color="D4D1CA" w:sz="1"/>
              <w:right w:val="single" w:color="1B474D" w:sz="2"/>
            </w:tcBorders>
            <w:shd w:fill="EEF7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8251D"/>
                <w:sz w:val="20"/>
                <w:szCs w:val="20"/>
              </w:rPr>
              <w:t xml:space="preserve">→  Risikoreduktion für Magenkarzinom durch Eradikation: −73 %</w:t>
            </w:r>
          </w:p>
        </w:tc>
      </w:tr>
      <w:tr>
        <w:tc>
          <w:tcPr>
            <w:tcW w:type="dxa" w:w="9026"/>
            <w:tcBorders>
              <w:top w:val="nil" w:color="FFFFFF" w:sz="0"/>
              <w:left w:val="single" w:color="1B474D" w:sz="2"/>
              <w:bottom w:val="single" w:color="D4D1CA" w:sz="1"/>
              <w:right w:val="single" w:color="1B474D" w:sz="2"/>
            </w:tcBorders>
            <w:shd w:fill="EEF7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8251D"/>
                <w:sz w:val="20"/>
                <w:szCs w:val="20"/>
              </w:rPr>
              <w:t xml:space="preserve">→  Nicht-invasiv testen: ¹³C-Atemtest oder Stuhl-Antigen (beide valide)</w:t>
            </w:r>
          </w:p>
        </w:tc>
      </w:tr>
    </w:tbl>
    <w:p>
      <w:pPr>
        <w:spacing w:after="0" w:before="160"/>
      </w:pPr>
    </w:p>
    <w:p>
      <w:pPr>
        <w:pBdr>
          <w:bottom w:val="single" w:color="D4D1CA" w:sz="6"/>
        </w:pBdr>
        <w:spacing w:after="120" w:before="120"/>
      </w:pPr>
    </w:p>
    <w:p>
      <w:pPr>
        <w:shd w:fill="01696F" w:val="clear"/>
        <w:spacing w:after="0" w:before="34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BAUSTEIN 2 – Positiver H. pylori-Nachweis (Routinefall)</w:t>
      </w:r>
    </w:p>
    <w:p>
      <w:pPr>
        <w:spacing w:after="0" w:before="80"/>
      </w:pP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474D"/>
          <w:sz w:val="24"/>
          <w:szCs w:val="24"/>
        </w:rPr>
        <w:t xml:space="preserve">Klinische Situation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Patient:in mit positivem H. pylori-Nachweis (Atemtest, Stuhl-Antigen oder Biopsie/Histologie). Kein bekanntes Magenulkus, keine Magenkarzinom-Familienanamnese, keine höhergradige Gastritis.</w:t>
      </w:r>
    </w:p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1B474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8"/>
                <w:szCs w:val="18"/>
              </w:rPr>
              <w:t xml:space="preserve">TEXTBAUSTEIN – DIREKT VERWENDBAR</w:t>
            </w:r>
          </w:p>
        </w:tc>
      </w:tr>
      <w:tr>
        <w:tc>
          <w:tcPr>
            <w:tcW w:type="dxa" w:w="9026"/>
            <w:tcBorders>
              <w:top w:val="nil" w:color="FFFFFF" w:sz="0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Befund: Helicobacter-pylori-Infektion gesichert (Nachweis via [¹³C-Atemtest / Stuhl-Antigen / Histologie]).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Empfehlung: Wir empfehlen eine Eradikationstherapie entsprechend der lokalen Resistenzlage.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Bevorzugtes Schema in Regionen mit Clarithromycin-Resistenz &lt;15 %: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  • Clarithromycin-Triple: PPI (2×/d) + Clarithromycin 500 mg (2×/d) + Amoxicillin 1 g (2×/d) × 14 Tage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Bei bekannter Penicillinallergie oder Clarithromycin-Resistenz ≥15 % (Süd-/Ostdeutschland):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  • Bismuth-Quadruple-Therapie (Pylera®) × 10 Tage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  • oder Levofloxacin-Triple × 14 Tage (nach Resistenztestung)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Eradikationskontrolle: ¹³C-Harnstoff-Atemtest frühestens 4 Wochen nach Therapieende.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single" w:color="1B474D" w:sz="2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Cave: PPI-Pause ≥2 Wochen vor Kontrolltest.</w:t>
            </w:r>
          </w:p>
        </w:tc>
      </w:tr>
    </w:tbl>
    <w:p>
      <w:pPr>
        <w:spacing w:after="0" w:before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07B00" w:sz="2"/>
              <w:left w:val="thick" w:color="E07B00" w:sz="12"/>
              <w:bottom w:val="nil" w:color="FFFFFF" w:sz="0"/>
              <w:right w:val="single" w:color="E07B00" w:sz="2"/>
            </w:tcBorders>
            <w:shd w:fill="FFF4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8251D"/>
                <w:sz w:val="20"/>
                <w:szCs w:val="20"/>
              </w:rPr>
              <w:t xml:space="preserve">⚠  Aktuelle Clarithromycin-Resistenzrate in Deutschland: regional 15–25 % (RKI 2022).</w:t>
            </w:r>
          </w:p>
        </w:tc>
      </w:tr>
      <w:tr>
        <w:tc>
          <w:tcPr>
            <w:tcW w:type="dxa" w:w="9026"/>
            <w:tcBorders>
              <w:top w:val="nil" w:color="FFFFFF" w:sz="0"/>
              <w:left w:val="thick" w:color="E07B00" w:sz="12"/>
              <w:bottom w:val="single" w:color="E07B00" w:sz="2"/>
              <w:right w:val="single" w:color="E07B00" w:sz="2"/>
            </w:tcBorders>
            <w:shd w:fill="FFF4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8251D"/>
                <w:sz w:val="20"/>
                <w:szCs w:val="20"/>
              </w:rPr>
              <w:t xml:space="preserve">→  Bei Therapieversagen: Resistenztestung via Kultur oder molekulare PCR empfohlen.</w:t>
            </w:r>
          </w:p>
        </w:tc>
      </w:tr>
    </w:tbl>
    <w:p>
      <w:pPr>
        <w:spacing w:after="0" w:before="160"/>
      </w:pPr>
    </w:p>
    <w:p>
      <w:pPr>
        <w:pBdr>
          <w:bottom w:val="single" w:color="D4D1CA" w:sz="6"/>
        </w:pBdr>
        <w:spacing w:after="120" w:before="120"/>
      </w:pPr>
    </w:p>
    <w:p>
      <w:pPr>
        <w:shd w:fill="01696F" w:val="clear"/>
        <w:spacing w:after="0" w:before="34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BAUSTEIN 3 – Haushaltsmitglieder ohne familiäre Magenkarzinom-Last</w:t>
      </w:r>
    </w:p>
    <w:p>
      <w:pPr>
        <w:spacing w:after="0" w:before="80"/>
      </w:pP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474D"/>
          <w:sz w:val="24"/>
          <w:szCs w:val="24"/>
        </w:rPr>
        <w:t xml:space="preserve">Klinische Situation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Haushaltsmitglied oder Lebenspartner:in eines/einer H.-pylori-positiven Patient:in; keine erstgradige Magenkarzinom-Familienanamnese; kein Hochprävalenzland; asymptomatisch.</w:t>
      </w:r>
    </w:p>
    <w:p>
      <w:pPr>
        <w:spacing w:after="0" w:before="80"/>
      </w:pP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474D"/>
          <w:sz w:val="24"/>
          <w:szCs w:val="24"/>
        </w:rPr>
        <w:t xml:space="preserve">Evidenzlage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Intrafamiliäre Transmission ist biologisch belegt (Ehepartner ~76–95 % ko-infiziert, Kinder ~82 % bei doppelter Elterninfektionslage). In Niedrigprävalenzländern wie Deutschland (Prävalenz 30–40 %) ist ein routinemäßiges Haushaltsmitglieder-Screening nach Maastricht VI jedoch nicht explizit empfohlen. Transmission von Erwachsenem zu Erwachsenem nach der Kindheit ist unwahrscheinlich; Reinfektionsrate nach Eradikation in Deutschland &lt;3 %/Jahr.</w:t>
      </w:r>
    </w:p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1B474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8"/>
                <w:szCs w:val="18"/>
              </w:rPr>
              <w:t xml:space="preserve">TEXTBAUSTEIN – DIREKT VERWENDBAR</w:t>
            </w:r>
          </w:p>
        </w:tc>
      </w:tr>
      <w:tr>
        <w:tc>
          <w:tcPr>
            <w:tcW w:type="dxa" w:w="9026"/>
            <w:tcBorders>
              <w:top w:val="nil" w:color="FFFFFF" w:sz="0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Wir weisen darauf hin, dass H. pylori intrafamiliär übertragen werden kann.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Ein routinemäßiges Screening asymptomatischer Haushaltsmitglieder ist nach aktueller Leitlinie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(Maastricht VI 2022) in Deutschland nicht generell empfohlen.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Wir empfehlen eine Testung bei Vorliegen von: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  • Dyspepsie-Symptomatik (Epigastralgien, postprandiales Völlegefühl)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  • Herkunft aus einem Hochprävalenzland (&gt;50 %, z. B. Türkei, Osteuropa, Asien)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  • Zusätzlichen Risikofaktoren (z. B. NSA-ID-Dauertherapie, geplante Immunsuppression)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single" w:color="1B474D" w:sz="2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  • Eigenwunsch nach eingehender Aufklärung über Nutzen und Grenzen</w:t>
            </w:r>
          </w:p>
        </w:tc>
      </w:tr>
    </w:tbl>
    <w:p>
      <w:pPr>
        <w:spacing w:after="0" w:before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1B474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Klinische Orientierung</w:t>
            </w:r>
          </w:p>
        </w:tc>
      </w:tr>
      <w:tr>
        <w:tc>
          <w:tcPr>
            <w:tcW w:type="dxa" w:w="9026"/>
            <w:tcBorders>
              <w:top w:val="nil" w:color="FFFFFF" w:sz="0"/>
              <w:left w:val="single" w:color="1B474D" w:sz="2"/>
              <w:bottom w:val="single" w:color="D4D1CA" w:sz="1"/>
              <w:right w:val="single" w:color="1B474D" w:sz="2"/>
            </w:tcBorders>
            <w:shd w:fill="EEF7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8251D"/>
                <w:sz w:val="20"/>
                <w:szCs w:val="20"/>
              </w:rPr>
              <w:t xml:space="preserve">→  KEINE Routinetestung von Haushaltsmitgliedern ohne Symptome oder Risikofaktoren</w:t>
            </w:r>
          </w:p>
        </w:tc>
      </w:tr>
      <w:tr>
        <w:tc>
          <w:tcPr>
            <w:tcW w:type="dxa" w:w="9026"/>
            <w:tcBorders>
              <w:top w:val="nil" w:color="FFFFFF" w:sz="0"/>
              <w:left w:val="single" w:color="1B474D" w:sz="2"/>
              <w:bottom w:val="single" w:color="D4D1CA" w:sz="1"/>
              <w:right w:val="single" w:color="1B474D" w:sz="2"/>
            </w:tcBorders>
            <w:shd w:fill="EEF7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8251D"/>
                <w:sz w:val="20"/>
                <w:szCs w:val="20"/>
              </w:rPr>
              <w:t xml:space="preserve">→  Symptomatische Haushaltsmitglieder: Testung und ggf. Behandlung ist sinnvoll</w:t>
            </w:r>
          </w:p>
        </w:tc>
      </w:tr>
      <w:tr>
        <w:tc>
          <w:tcPr>
            <w:tcW w:type="dxa" w:w="9026"/>
            <w:tcBorders>
              <w:top w:val="nil" w:color="FFFFFF" w:sz="0"/>
              <w:left w:val="single" w:color="1B474D" w:sz="2"/>
              <w:bottom w:val="single" w:color="D4D1CA" w:sz="1"/>
              <w:right w:val="single" w:color="1B474D" w:sz="2"/>
            </w:tcBorders>
            <w:shd w:fill="EEF7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8251D"/>
                <w:sz w:val="20"/>
                <w:szCs w:val="20"/>
              </w:rPr>
              <w:t xml:space="preserve">→  Herkunft aus Hochprävalenzregion: individueller Entscheid, gut vertretbar</w:t>
            </w:r>
          </w:p>
        </w:tc>
      </w:tr>
    </w:tbl>
    <w:p>
      <w:pPr>
        <w:spacing w:after="0" w:before="160"/>
      </w:pPr>
    </w:p>
    <w:p>
      <w:pPr>
        <w:pBdr>
          <w:bottom w:val="single" w:color="D4D1CA" w:sz="6"/>
        </w:pBdr>
        <w:spacing w:after="120" w:before="120"/>
      </w:pPr>
    </w:p>
    <w:p>
      <w:pPr>
        <w:shd w:fill="01696F" w:val="clear"/>
        <w:spacing w:after="0" w:before="34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BAUSTEIN 4 – Eradikationskontrolle nach Therapie</w:t>
      </w:r>
    </w:p>
    <w:p>
      <w:pPr>
        <w:spacing w:after="0" w:before="80"/>
      </w:pP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474D"/>
          <w:sz w:val="24"/>
          <w:szCs w:val="24"/>
        </w:rPr>
        <w:t xml:space="preserve">Klinische Situation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Patient:in hat eine H.-pylori-Eradikationstherapie abgeschlossen. Kontrolle des Therapieerfolgs steht noch aus.</w:t>
      </w:r>
    </w:p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1B474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8"/>
                <w:szCs w:val="18"/>
              </w:rPr>
              <w:t xml:space="preserve">TEXTBAUSTEIN – DIREKT VERWENDBAR</w:t>
            </w:r>
          </w:p>
        </w:tc>
      </w:tr>
      <w:tr>
        <w:tc>
          <w:tcPr>
            <w:tcW w:type="dxa" w:w="9026"/>
            <w:tcBorders>
              <w:top w:val="nil" w:color="FFFFFF" w:sz="0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Wir bitten um Eradikationskontrolle mittels ¹³C-Harnstoff-Atemtest: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  • Zeitpunkt: frühestens 4 Wochen nach Therapieende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  • PPI-Pause: mindestens 2 Wochen vor dem Test (falsch-negatives Ergebnis möglich)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  • Antibiotika-Pause: mindestens 4 Wochen vor dem Test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Bei erneutem Nachweis (Therapieversagen):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  • Resistenztestung empfohlen (Kultur aus Biopsie oder molekulare PCR)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  • Rescue-Therapie nach Resistogramm (z. B. Bismuth-Quadruple oder Levofloxacin-basiert)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nil" w:color="FFFFFF" w:sz="0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Bei negativem Kontrolltest: Abschluss der Behandlung; keine weitere Kontrolle erforderlich</w:t>
            </w:r>
          </w:p>
        </w:tc>
      </w:tr>
      <w:tr>
        <w:tc>
          <w:tcPr>
            <w:tcW w:type="dxa" w:w="9026"/>
            <w:tcBorders>
              <w:top w:val="single" w:color="D4D1CA" w:sz="1"/>
              <w:left w:val="single" w:color="1B474D" w:sz="2"/>
              <w:bottom w:val="single" w:color="1B474D" w:sz="2"/>
              <w:right w:val="single" w:color="1B474D" w:sz="2"/>
            </w:tcBorders>
            <w:shd w:fill="F4FA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8251D"/>
                <w:sz w:val="20"/>
                <w:szCs w:val="20"/>
              </w:rPr>
              <w:t xml:space="preserve">(sofern kein Ulkus, kein MALT-Lymphom, keine Magenkarzinom-Familienanamnese).</w:t>
            </w:r>
          </w:p>
        </w:tc>
      </w:tr>
    </w:tbl>
    <w:p>
      <w:pPr>
        <w:spacing w:after="0" w:before="160"/>
      </w:pPr>
    </w:p>
    <w:p>
      <w:pPr>
        <w:pBdr>
          <w:bottom w:val="single" w:color="D4D1CA" w:sz="6"/>
        </w:pBdr>
        <w:spacing w:after="120" w:before="120"/>
      </w:pPr>
    </w:p>
    <w:p>
      <w:pPr>
        <w:shd w:fill="01696F" w:val="clear"/>
        <w:spacing w:after="0" w:before="34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SCHNELLÜBERSICHT – Testverfahren im Vergleich</w:t>
      </w:r>
    </w:p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900"/>
        <w:gridCol w:w="1900"/>
        <w:gridCol w:w="2026"/>
      </w:tblGrid>
      <w:tr>
        <w:tc>
          <w:tcPr>
            <w:tcW w:type="dxa" w:w="3200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1B474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Testverfahren</w:t>
            </w:r>
          </w:p>
        </w:tc>
        <w:tc>
          <w:tcPr>
            <w:tcW w:type="dxa" w:w="1900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1B474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Sensitivität</w:t>
            </w:r>
          </w:p>
        </w:tc>
        <w:tc>
          <w:tcPr>
            <w:tcW w:type="dxa" w:w="1900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1B474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Spezifität</w:t>
            </w:r>
          </w:p>
        </w:tc>
        <w:tc>
          <w:tcPr>
            <w:tcW w:type="dxa" w:w="2026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1B474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Besonderheit</w:t>
            </w:r>
          </w:p>
        </w:tc>
      </w:tr>
      <w:tr>
        <w:tc>
          <w:tcPr>
            <w:tcW w:type="dxa" w:w="32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¹³C-Atemtest</w:t>
            </w:r>
          </w:p>
        </w:tc>
        <w:tc>
          <w:tcPr>
            <w:tcW w:type="dxa" w:w="19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&gt;95 %</w:t>
            </w:r>
          </w:p>
        </w:tc>
        <w:tc>
          <w:tcPr>
            <w:tcW w:type="dxa" w:w="19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&gt;95 %</w:t>
            </w:r>
          </w:p>
        </w:tc>
        <w:tc>
          <w:tcPr>
            <w:tcW w:type="dxa" w:w="2026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Goldstandard nicht-invasiv; PPI-Pause 2 Wo.</w:t>
            </w:r>
          </w:p>
        </w:tc>
      </w:tr>
      <w:tr>
        <w:tc>
          <w:tcPr>
            <w:tcW w:type="dxa" w:w="32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Stuhl-Antigen</w:t>
            </w:r>
          </w:p>
        </w:tc>
        <w:tc>
          <w:tcPr>
            <w:tcW w:type="dxa" w:w="19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&gt;94 %</w:t>
            </w:r>
          </w:p>
        </w:tc>
        <w:tc>
          <w:tcPr>
            <w:tcW w:type="dxa" w:w="19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&gt;97 %</w:t>
            </w:r>
          </w:p>
        </w:tc>
        <w:tc>
          <w:tcPr>
            <w:tcW w:type="dxa" w:w="2026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Gut für Kinder; PPI-Pause 2 Wo.</w:t>
            </w:r>
          </w:p>
        </w:tc>
      </w:tr>
      <w:tr>
        <w:tc>
          <w:tcPr>
            <w:tcW w:type="dxa" w:w="32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Serologie (IgG)</w:t>
            </w:r>
          </w:p>
        </w:tc>
        <w:tc>
          <w:tcPr>
            <w:tcW w:type="dxa" w:w="19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~85 %</w:t>
            </w:r>
          </w:p>
        </w:tc>
        <w:tc>
          <w:tcPr>
            <w:tcW w:type="dxa" w:w="19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~79 %</w:t>
            </w:r>
          </w:p>
        </w:tc>
        <w:tc>
          <w:tcPr>
            <w:tcW w:type="dxa" w:w="2026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Nicht für Eradikationskontrolle geeignet!</w:t>
            </w:r>
          </w:p>
        </w:tc>
      </w:tr>
      <w:tr>
        <w:tc>
          <w:tcPr>
            <w:tcW w:type="dxa" w:w="32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Histologie/Biopsie</w:t>
            </w:r>
          </w:p>
        </w:tc>
        <w:tc>
          <w:tcPr>
            <w:tcW w:type="dxa" w:w="19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&gt;95 %</w:t>
            </w:r>
          </w:p>
        </w:tc>
        <w:tc>
          <w:tcPr>
            <w:tcW w:type="dxa" w:w="19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&gt;95 %</w:t>
            </w:r>
          </w:p>
        </w:tc>
        <w:tc>
          <w:tcPr>
            <w:tcW w:type="dxa" w:w="2026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Invasiv; Goldstandard bei Gastroskopie</w:t>
            </w:r>
          </w:p>
        </w:tc>
      </w:tr>
      <w:tr>
        <w:tc>
          <w:tcPr>
            <w:tcW w:type="dxa" w:w="32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Schnell-Urease-Test</w:t>
            </w:r>
          </w:p>
        </w:tc>
        <w:tc>
          <w:tcPr>
            <w:tcW w:type="dxa" w:w="19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90–95 %</w:t>
            </w:r>
          </w:p>
        </w:tc>
        <w:tc>
          <w:tcPr>
            <w:tcW w:type="dxa" w:w="19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&gt;95 %</w:t>
            </w:r>
          </w:p>
        </w:tc>
        <w:tc>
          <w:tcPr>
            <w:tcW w:type="dxa" w:w="2026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Intraoperativ; PPI und AB-Pause beachten</w:t>
            </w:r>
          </w:p>
        </w:tc>
      </w:tr>
    </w:tbl>
    <w:p>
      <w:pPr>
        <w:spacing w:after="0" w:before="160"/>
      </w:pPr>
    </w:p>
    <w:p>
      <w:pPr>
        <w:pBdr>
          <w:bottom w:val="single" w:color="D4D1CA" w:sz="6"/>
        </w:pBdr>
        <w:spacing w:after="120" w:before="120"/>
      </w:pPr>
    </w:p>
    <w:p>
      <w:pPr>
        <w:shd w:fill="01696F" w:val="clear"/>
        <w:spacing w:after="0" w:before="34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QUELLEN &amp; LEITLINIEN</w:t>
      </w:r>
    </w:p>
    <w:p>
      <w:pPr>
        <w:spacing w:after="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Alle Empfehlungen basieren auf folgenden Leitlinien und Primärquellen:</w:t>
      </w:r>
    </w:p>
    <w:p>
      <w:pPr>
        <w:spacing w:after="0" w:before="4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Malfertheiner P et al. Maastricht VI/Florence Consensus Report. Gut 2022; 71: 1724–1762.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Choi IJ et al. Helicobacter pylori eradication for metachronous gastric cancer prevention. NEJM 2020; 382: 427–436.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S3-Leitlinie Magenkarzinom, AWMF 032-009 (2023).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Fischbach W et al. S2k-Leitlinie Helicobacter pylori und gastroduodenale Ulkuskrankheit. AWMF 021-001 (2016, in Revision 2024).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RKI: Helicobacter-pylori-Resistenzentwicklung in Deutschland, Epidem. Bull. 2022.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Sugano K et al. Kyoto global consensus on Helicobacter pylori gastritis. Gut 2015; 64: 1353–1367.</w:t>
      </w:r>
    </w:p>
    <w:p>
      <w:pPr>
        <w:spacing w:after="0" w:before="160"/>
      </w:pPr>
    </w:p>
    <w:p>
      <w:pPr>
        <w:spacing w:before="80"/>
        <w:jc w:val="center"/>
      </w:pPr>
      <w:r>
        <w:rPr>
          <w:rFonts w:ascii="Calibri" w:cs="Calibri" w:eastAsia="Calibri" w:hAnsi="Calibri"/>
          <w:i/>
          <w:iCs/>
          <w:color w:val="7A7974"/>
          <w:sz w:val="18"/>
          <w:szCs w:val="18"/>
        </w:rPr>
        <w:t xml:space="preserve">Dr. med. Kristin Koschny · Assistenzärztin Gastroenterologie · GFGB-Jahrestagung 2026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7974"/>
        <w:sz w:val="16"/>
        <w:szCs w:val="16"/>
      </w:rPr>
      <w:t xml:space="preserve">Seite </w:t>
    </w:r>
    <w:r>
      <w:rPr>
        <w:rFonts w:ascii="Calibri" w:cs="Calibri" w:eastAsia="Calibri" w:hAnsi="Calibri"/>
        <w:color w:val="7A797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A7974"/>
        <w:sz w:val="16"/>
        <w:szCs w:val="16"/>
      </w:rPr>
      <w:t xml:space="preserve"> von </w:t>
    </w:r>
    <w:r>
      <w:rPr>
        <w:rFonts w:ascii="Calibri" w:cs="Calibri" w:eastAsia="Calibri" w:hAnsi="Calibri"/>
        <w:color w:val="7A797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7A7974"/>
        <w:sz w:val="16"/>
        <w:szCs w:val="16"/>
      </w:rPr>
      <w:t xml:space="preserve">H. pylori – Standardsätze Arztbrief · Dr. K. Koschny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2026-04-02T11:40:03.370Z</dcterms:created>
  <dcterms:modified xsi:type="dcterms:W3CDTF">2026-04-02T11:40:03.370Z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