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1696F" w:val="clear"/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Lynch-Syndrom &amp; ASS – Standardsätze</w:t>
      </w:r>
    </w:p>
    <w:p>
      <w:pPr>
        <w:shd w:fill="01696F" w:val="clear"/>
        <w:spacing w:after="60" w:before="0"/>
        <w:jc w:val="center"/>
      </w:pPr>
      <w:r>
        <w:rPr>
          <w:rFonts w:ascii="Calibri" w:cs="Calibri" w:eastAsia="Calibri" w:hAnsi="Calibri"/>
          <w:i/>
          <w:iCs/>
          <w:color w:val="CCE9EA"/>
          <w:sz w:val="20"/>
          <w:szCs w:val="20"/>
        </w:rPr>
        <w:t xml:space="preserve">Arztbrief · Koloskopie-/Endoskopiebefund · Aufklärungsgespräch</w:t>
      </w:r>
    </w:p>
    <w:p>
      <w:pPr>
        <w:spacing w:after="0" w:before="200"/>
      </w:pP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Die folgenden Bausteine basieren auf CAPP2 (Burn et al., Lancet 2020), CAPP3 (Burn et al., präsentiert Juni 2025, n=1.879) und der NICE-Guideline NG151 (2020). ASS ist in dieser Indikation Off-Label; eine individuelle Nutzen-Risiko-Besprechung ist erforderlich.</w:t>
      </w:r>
    </w:p>
    <w:p>
      <w:pPr>
        <w:spacing w:after="0" w:before="12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BAUSTEIN 1 – Arztbrief an Hausarzt / betreuenden Arzt</w:t>
      </w:r>
    </w:p>
    <w:p>
      <w:pPr>
        <w:spacing w:after="0" w:before="80"/>
      </w:pP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1B474D"/>
          <w:sz w:val="24"/>
          <w:szCs w:val="24"/>
        </w:rPr>
        <w:t xml:space="preserve">Klinische Situation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Erstdiagnose eines Lynch-Syndroms oder neu eruierte MMR-Genmutation; Patient:in wird nach Beratung in die hausärztliche / internistische Weiterbetreuung entlassen.</w:t>
      </w:r>
    </w:p>
    <w:p>
      <w:pPr>
        <w:spacing w:after="0" w:before="80"/>
      </w:pP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1B474D"/>
          <w:sz w:val="24"/>
          <w:szCs w:val="24"/>
        </w:rPr>
        <w:t xml:space="preserve">Evidenz im Überblick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CAPP2 (Lancet 2020, n=861, RCT, medianes Follow-up 10 Jahre):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600 mg ASS/Tag für ≥2 Jahre → KRK-Risikoreduktion −44 % (ITT-Analyse, HR 0,65; 95 % CI 0,43–0,97)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Per-Protokoll (≥2 Jahre eingehalten): −50 % (HR 0,56; 95 % CI 0,34–0,91)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Schutzeffekt beginnt nach ~5 Jahren, hält &gt;10 Jahre an (Legacy-Effekt)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Keine signifikante Erhöhung von Blutungsereignissen im jungen Kollektiv</w:t>
      </w:r>
    </w:p>
    <w:p>
      <w:pPr>
        <w:spacing w:after="0" w:before="60"/>
      </w:pP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CAPP3 (Burn et al., präsentiert Juni 2025, n=1.879, 3-Arm-RCT: 100/300/600 mg):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100 mg/Tag wirkt genauso gut wie 300 mg und 600 mg (Non-Inferiority-Design)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→ Niedrigdosis ist Standard; weniger Nebenwirkungen</w:t>
      </w:r>
    </w:p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8"/>
                <w:szCs w:val="18"/>
              </w:rPr>
              <w:t xml:space="preserve">TEXTBAUSTEIN – DIREKT VERWENDBAR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Diagnose: Gesichertes Lynch-Syndrom ([Mutationsnachweis: z.B. MLH1/MSH2/MSH6/PMS2/EPCAM]).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Empfehlung Chemoprävention: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Wir empfehlen die Einnahme von Acetylsalicylsäure (ASS) 100 mg/Tag (enteric coated) zur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Reduktion des kolorektalen Karzinomrisikos. Die Therapie sollte für mindestens 2 Jahre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kontinuierlich eingenommen werden (CAPP2: Burn et al., Lancet 2020; CAPP3, 2025).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Der protektive Effekt tritt verzögert auf (~5 Jahre) und hält &gt;10 Jahre an.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Bitte besprechen Sie die individuelle Nutzen-Risiko-Abwägung mit dem/der Patient:in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(Blutungsrisiko, Magenverträglichkeit, Komedikation). Bei gastrointestinalen Risikofaktoren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ggf. PPI-Komedikation erwägen. ASS ist in dieser Indikation Off-Label (Stand: 2025).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Kontraindikationen: schwere Magen-Darm-Blutungsanamnese, bekannte ASS-Unverträglichkeit,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single" w:color="1B474D" w:sz="2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schwere Leber-/Niereninsuffizienz, gleichzeitige Antikoagulation (relative KI).</w:t>
            </w:r>
          </w:p>
        </w:tc>
      </w:tr>
    </w:tbl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Kernaussage Baustein 1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single" w:color="D4D1CA" w:sz="1"/>
              <w:right w:val="single" w:color="1B474D" w:sz="2"/>
            </w:tcBorders>
            <w:shd w:fill="EEF7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8251D"/>
                <w:sz w:val="20"/>
                <w:szCs w:val="20"/>
              </w:rPr>
              <w:t xml:space="preserve">→  Alle bestätigten Lynch-Träger:innen (MMR-Mutation) sollten ASS 100 mg/Tag erhalten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single" w:color="D4D1CA" w:sz="1"/>
              <w:right w:val="single" w:color="1B474D" w:sz="2"/>
            </w:tcBorders>
            <w:shd w:fill="EEF7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8251D"/>
                <w:sz w:val="20"/>
                <w:szCs w:val="20"/>
              </w:rPr>
              <w:t xml:space="preserve">→  Mindestdauer 2 Jahre; Effekt erst nach ~5 Jahren messbar – frühzeitig beginnen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single" w:color="D4D1CA" w:sz="1"/>
              <w:right w:val="single" w:color="1B474D" w:sz="2"/>
            </w:tcBorders>
            <w:shd w:fill="EEF7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8251D"/>
                <w:sz w:val="20"/>
                <w:szCs w:val="20"/>
              </w:rPr>
              <w:t xml:space="preserve">→  Off-Label: Aufklärung und Dokumentation der Nutzen-Risiko-Besprechung erforderlich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BAUSTEIN 2 – Befund Koloskopie / Endoskopie</w:t>
      </w:r>
    </w:p>
    <w:p>
      <w:pPr>
        <w:spacing w:after="0" w:before="80"/>
      </w:pP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1B474D"/>
          <w:sz w:val="24"/>
          <w:szCs w:val="24"/>
        </w:rPr>
        <w:t xml:space="preserve">Klinische Situation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Surveillance-Koloskopie bei bekanntem Lynch-Syndrom; Befund wird schriftlich festgehalten; kurze Empfehlung zur Chemoprävention als Standardsatz im Befundtext.</w:t>
      </w:r>
    </w:p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8"/>
                <w:szCs w:val="18"/>
              </w:rPr>
              <w:t xml:space="preserve">TEXTBAUSTEIN KOLOSKOPIE-BEFUND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Koloskopie-Indikation: Surveillance bei Lynch-Syndrom ([Mutation]).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[Befundbeschreibung: z.B. Kein Polyp. / Polyp abgetragen. / etc.]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Empfehlung Chemoprävention: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Bei gesichertem Lynch-Syndrom empfehlen wir die tägliche Einnahme von ASS 100 mg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(enteric coated) zur Chemoprävention des kolorektalen Karzinoms (CAPP2/CAPP3,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single" w:color="1B474D" w:sz="2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NICE-Guideline NG151 2020). Bitte ggf. mit dem weiterbehandelnden Arzt besprechen.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BAUSTEIN 3 – Aufklärungsgespräch (mündlich / schriftlich)</w:t>
      </w:r>
    </w:p>
    <w:p>
      <w:pPr>
        <w:spacing w:after="0" w:before="80"/>
      </w:pP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1B474D"/>
          <w:sz w:val="24"/>
          <w:szCs w:val="24"/>
        </w:rPr>
        <w:t xml:space="preserve">Kernpunkte für das Gespräch</w:t>
      </w:r>
    </w:p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Was ist ASS hier? Kein Schmerzmittel, sondern Krebsvorbeugung in niedriger Dosis (100 mg = „Baby-Aspirin")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Warum wirkt es? ASS hemmt ein Entzündungsenzym (COX-2), das Tumorzellen beim Wachstum hilft. Zusätzlich scheint es die körpereigene Immunüberwachung im Darm zu stärken.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Wann merkt man etwas? Der Schutz baut sich langsam auf – nach ca. 5 Jahren ist er am stärksten, hält aber über 10 Jahre an, auch wenn man ASS irgendwann absetzt.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Wie groß ist der Nutzen? In der größten Studie (CAPP2) entwickelten 9 % der ASS-Gruppe Darmkrebs vs. 13 % in der Placebo-Gruppe. Das klingt klein, ist aber auf Lebenszeit relevant.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Welche Dosis? 100 mg/Tag – die neue CAPP3-Studie (2025) zeigt: genauso wirksam wie 600 mg, aber verträglicher.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Gibt es Risiken? Erhöhtes Magenblutungsrisiko. Bei Magenproblemen: gleichzeitig Magenschutz (PPI). Bei Antikoagulation: Rücksprache mit dem Arzt.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Wie lange? Mindestens 2 Jahre durchgängig einnehmen. Langfristig idealerweise lebenslang (kein Off-Label-Grenzpunkt, da Risiko dauerhaft erhöht).</w:t>
      </w:r>
    </w:p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7B00" w:sz="2"/>
              <w:left w:val="thick" w:color="E07B00" w:sz="12"/>
              <w:bottom w:val="nil" w:color="FFFFFF" w:sz="0"/>
              <w:right w:val="single" w:color="E07B00" w:sz="2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0"/>
                <w:szCs w:val="20"/>
              </w:rPr>
              <w:t xml:space="preserve">⚠  ASS ist in dieser Indikation Off-Label. Eine dokumentierte Aufklärung ist medizinisch und rechtlich erforderlich.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thick" w:color="E07B00" w:sz="12"/>
              <w:bottom w:val="nil" w:color="FFFFFF" w:sz="0"/>
              <w:right w:val="single" w:color="E07B00" w:sz="2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0"/>
                <w:szCs w:val="20"/>
              </w:rPr>
              <w:t xml:space="preserve">→  Empfehlenswert: Kurzvermerk im Brief „Nutzen-Risiko-Gespräch am [Datum] geführt, Patient:in einverstanden".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thick" w:color="E07B00" w:sz="12"/>
              <w:bottom w:val="single" w:color="E07B00" w:sz="2"/>
              <w:right w:val="single" w:color="E07B00" w:sz="2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0"/>
                <w:szCs w:val="20"/>
              </w:rPr>
              <w:t xml:space="preserve">→  Kein Rezept erforderlich (OTC-Präparat), aber ärztliche Empfehlung / Dokumentation sinnvoll.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ANHANG – Lynch-Syndrom: Risikospektrum auf einen Blick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226"/>
      </w:tblGrid>
      <w:tr>
        <w:tc>
          <w:tcPr>
            <w:tcW w:type="dxa" w:w="22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Gen</w:t>
            </w:r>
          </w:p>
        </w:tc>
        <w:tc>
          <w:tcPr>
            <w:tcW w:type="dxa" w:w="18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KRK-Risiko</w:t>
            </w:r>
          </w:p>
        </w:tc>
        <w:tc>
          <w:tcPr>
            <w:tcW w:type="dxa" w:w="18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Endometrium</w:t>
            </w:r>
          </w:p>
        </w:tc>
        <w:tc>
          <w:tcPr>
            <w:tcW w:type="dxa" w:w="32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Weitere Lynch-Tumoren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MLH1</w:t>
            </w:r>
          </w:p>
        </w:tc>
        <w:tc>
          <w:tcPr>
            <w:tcW w:type="dxa" w:w="18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40–80 %</w:t>
            </w:r>
          </w:p>
        </w:tc>
        <w:tc>
          <w:tcPr>
            <w:tcW w:type="dxa" w:w="18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40–60 %</w:t>
            </w:r>
          </w:p>
        </w:tc>
        <w:tc>
          <w:tcPr>
            <w:tcW w:type="dxa" w:w="3226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Magen, Ovar, Urothel, Pankreas, Gehirn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MSH2</w:t>
            </w:r>
          </w:p>
        </w:tc>
        <w:tc>
          <w:tcPr>
            <w:tcW w:type="dxa" w:w="18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40–80 %</w:t>
            </w:r>
          </w:p>
        </w:tc>
        <w:tc>
          <w:tcPr>
            <w:tcW w:type="dxa" w:w="18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40–60 %</w:t>
            </w:r>
          </w:p>
        </w:tc>
        <w:tc>
          <w:tcPr>
            <w:tcW w:type="dxa" w:w="3226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Haut (Muir-Torre), Urothel, Dünndarm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MSH6</w:t>
            </w:r>
          </w:p>
        </w:tc>
        <w:tc>
          <w:tcPr>
            <w:tcW w:type="dxa" w:w="18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10–22 %</w:t>
            </w:r>
          </w:p>
        </w:tc>
        <w:tc>
          <w:tcPr>
            <w:tcW w:type="dxa" w:w="18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44–71 %</w:t>
            </w:r>
          </w:p>
        </w:tc>
        <w:tc>
          <w:tcPr>
            <w:tcW w:type="dxa" w:w="3226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Urothel, Ovar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PMS2</w:t>
            </w:r>
          </w:p>
        </w:tc>
        <w:tc>
          <w:tcPr>
            <w:tcW w:type="dxa" w:w="18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15–20 %</w:t>
            </w:r>
          </w:p>
        </w:tc>
        <w:tc>
          <w:tcPr>
            <w:tcW w:type="dxa" w:w="18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15 %</w:t>
            </w:r>
          </w:p>
        </w:tc>
        <w:tc>
          <w:tcPr>
            <w:tcW w:type="dxa" w:w="3226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Geringes Extrakolon-Risiko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EPCAM</w:t>
            </w:r>
          </w:p>
        </w:tc>
        <w:tc>
          <w:tcPr>
            <w:tcW w:type="dxa" w:w="18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75 %</w:t>
            </w:r>
          </w:p>
        </w:tc>
        <w:tc>
          <w:tcPr>
            <w:tcW w:type="dxa" w:w="18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~12 %</w:t>
            </w:r>
          </w:p>
        </w:tc>
        <w:tc>
          <w:tcPr>
            <w:tcW w:type="dxa" w:w="3226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Wie MSH2 (Promotormethylierung)</w:t>
            </w:r>
          </w:p>
        </w:tc>
      </w:tr>
    </w:tbl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i/>
          <w:iCs/>
          <w:color w:val="7A7974"/>
          <w:sz w:val="22"/>
          <w:szCs w:val="22"/>
        </w:rPr>
        <w:t xml:space="preserve">Lebenszeitrisiko gegenüber Normalbevölkerung (KRK: 4–5 %). Koloskopie-Surveillance: alle 1–2 Jahre ab Alter 25 (S3-Leitlinie KRK 2023).</w:t>
      </w:r>
    </w:p>
    <w:p>
      <w:pPr>
        <w:spacing w:after="0" w:before="160"/>
      </w:pPr>
    </w:p>
    <w:p>
      <w:pPr>
        <w:spacing w:before="80"/>
        <w:jc w:val="center"/>
      </w:pPr>
      <w:r>
        <w:rPr>
          <w:rFonts w:ascii="Calibri" w:cs="Calibri" w:eastAsia="Calibri" w:hAnsi="Calibri"/>
          <w:i/>
          <w:iCs/>
          <w:color w:val="7A7974"/>
          <w:sz w:val="18"/>
          <w:szCs w:val="18"/>
        </w:rPr>
        <w:t xml:space="preserve">Dr. med. Kristin Koschny · Assistenzärztin Gastroenterologie · GFGB-Jahrestagung 2026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974"/>
        <w:sz w:val="16"/>
        <w:szCs w:val="16"/>
      </w:rPr>
      <w:t xml:space="preserve">Seite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von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7A7974"/>
        <w:sz w:val="16"/>
        <w:szCs w:val="16"/>
      </w:rPr>
      <w:t xml:space="preserve">Lynch-Syndrom &amp; ASS – Standardsätze · Dr. K. Koschny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2026-04-02T12:08:54.863Z</dcterms:created>
  <dcterms:modified xsi:type="dcterms:W3CDTF">2026-04-02T12:08:54.863Z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