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C4E54"/>
          <w:sz w:val="36"/>
          <w:szCs w:val="36"/>
        </w:rPr>
        <w:t xml:space="preserve">Lynch-Syndrom &amp; ASS – Textbaustein</w:t>
      </w:r>
    </w:p>
    <w:p>
      <w:pPr>
        <w:spacing w:after="240"/>
      </w:pPr>
      <w:r>
        <w:rPr>
          <w:rFonts w:ascii="Calibri" w:cs="Calibri" w:eastAsia="Calibri" w:hAnsi="Calibri"/>
          <w:i/>
          <w:iCs/>
          <w:color w:val="6B7F80"/>
          <w:sz w:val="19"/>
          <w:szCs w:val="19"/>
        </w:rPr>
        <w:t xml:space="preserve">Dr. med. K. Koschny · Gastroenterologie · GFGB 2026</w:t>
      </w:r>
    </w:p>
    <w:p>
      <w:pPr>
        <w:spacing w:after="120" w:before="360"/>
      </w:pPr>
      <w:r>
        <w:rPr>
          <w:rFonts w:ascii="Calibri" w:cs="Calibri" w:eastAsia="Calibri" w:hAnsi="Calibri"/>
          <w:b/>
          <w:bCs/>
          <w:color w:val="0C4E54"/>
          <w:sz w:val="28"/>
          <w:szCs w:val="28"/>
        </w:rPr>
        <w:t xml:space="preserve">Koloskopie-Befund bei Lynch-Syndrom</w:t>
      </w:r>
    </w:p>
    <w:p>
      <w:pPr>
        <w:spacing w:after="100" w:before="60"/>
        <w:jc w:val="both"/>
      </w:pPr>
      <w:r>
        <w:rPr>
          <w:rFonts w:ascii="Calibri" w:cs="Calibri" w:eastAsia="Calibri" w:hAnsi="Calibri"/>
          <w:sz w:val="22"/>
          <w:szCs w:val="22"/>
        </w:rPr>
        <w:t xml:space="preserve">Koloskopie-Indikation: Surveillance bei Lynch-Syndrom ([Mutation]).</w:t>
      </w:r>
    </w:p>
    <w:p>
      <w:pPr>
        <w:spacing w:after="100" w:before="60"/>
        <w:jc w:val="both"/>
      </w:pPr>
      <w:r>
        <w:rPr>
          <w:rFonts w:ascii="Calibri" w:cs="Calibri" w:eastAsia="Calibri" w:hAnsi="Calibri"/>
          <w:sz w:val="22"/>
          <w:szCs w:val="22"/>
        </w:rPr>
        <w:t xml:space="preserve">[Befundbeschreibung: z. B. Kein Polyp nachweisbar. / Polyp abgetragen, Histologie angefordert.]</w:t>
      </w:r>
    </w:p>
    <w:p>
      <w:pPr>
        <w:spacing w:after="100" w:before="60"/>
        <w:jc w:val="both"/>
      </w:pPr>
      <w:r>
        <w:rPr>
          <w:rFonts w:ascii="Calibri" w:cs="Calibri" w:eastAsia="Calibri" w:hAnsi="Calibri"/>
          <w:sz w:val="22"/>
          <w:szCs w:val="22"/>
        </w:rPr>
        <w:t xml:space="preserve">Bei gesichertem Lynch-Syndrom empfehlen wir die tägliche Einnahme von ASS 100 mg (enteric coated) zur Chemoprävention des kolorektalen Karzinoms. Bitte ggf. mit dem weiterbehandelnden Arzt besprechen.</w:t>
      </w:r>
    </w:p>
    <w:p>
      <w:r>
        <w:rPr>
          <w:b w:val="0"/>
          <w:i w:val="0"/>
          <w:sz w:val="22"/>
        </w:rPr>
        <w:t>Bei Erstdiagnose eines Lynch-Syndroms empfehlen wir eine humangenetische Beratung sowie eine Keimbahndiagnostik der MMR-Gene (MLH1, MSH2, MSH6, PMS2, EPCAM), sofern noch nicht erfolgt. Erstgradig Verwandte sollten ebenfalls beraten werden.</w:t>
      </w:r>
    </w:p>
    <w:p>
      <w:r>
        <w:rPr>
          <w:sz w:val="22"/>
        </w:rPr>
        <w:t>Bei Nachweis einer MSH2-Mutation empfehlen wir zusätzlich ein Screening auf Helicobacter pylori sowie eine Eradikation bei positivem Nachweis, da MSH2-Träger ein erhöhtes Risiko für Magenkarzinome aufweisen.</w:t>
      </w:r>
    </w:p>
    <w:p>
      <w:r>
        <w:rPr>
          <w:b w:val="0"/>
          <w:i w:val="0"/>
          <w:sz w:val="22"/>
        </w:rPr>
      </w:r>
    </w:p>
    <w:p>
      <w:pPr>
        <w:spacing w:after="80" w:before="60"/>
      </w:pPr>
      <w:r>
        <w:rPr>
          <w:rFonts w:ascii="Calibri" w:cs="Calibri" w:eastAsia="Calibri" w:hAnsi="Calibri"/>
          <w:i/>
          <w:iCs/>
          <w:color w:val="6B7F80"/>
          <w:sz w:val="19"/>
          <w:szCs w:val="19"/>
        </w:rPr>
        <w:t xml:space="preserve">ASS ist in dieser Indikation Off-Label. Aufklärung und Dokumentation empfohlen.</w:t>
      </w:r>
    </w:p>
    <w:p/>
    <w:p>
      <w:r>
        <w:rPr>
          <w:color w:val="BBBBBB"/>
          <w:sz w:val="18"/>
        </w:rPr>
        <w:t>───────────────────────────────────────────────────────</w:t>
      </w:r>
    </w:p>
    <w:p>
      <w:r>
        <w:rPr>
          <w:b/>
          <w:i w:val="0"/>
          <w:sz w:val="22"/>
        </w:rPr>
        <w:t>Baustein 2 – Hereditäres Pankreaskarzinom (BRCA1/2 · PALB2 · ATM)</w:t>
      </w:r>
    </w:p>
    <w:p>
      <w:r>
        <w:rPr>
          <w:b/>
          <w:i w:val="0"/>
          <w:sz w:val="22"/>
        </w:rPr>
        <w:t>BRCA1/2-Mutation</w:t>
      </w:r>
    </w:p>
    <w:p>
      <w:r>
        <w:rPr>
          <w:b w:val="0"/>
          <w:i w:val="0"/>
          <w:sz w:val="22"/>
        </w:rPr>
        <w:t>Bei dem Patienten / der Patientin wurde eine BRCA1/2-Keimbahnmutation nachgewiesen. Wir empfehlen eine Vorstellung in einer humangenetischen Beratungsstelle zur Familienberatung und Testung erstgradig Verwandter. Therapeutisch ist die Mutation relevant: Bei metastasiertem BRCA1/2-mutiertem Pankreaskarzinom ist eine Therapie mit PARP-Inhibitoren (Olaparib) zugelassen; wir empfehlen eine Besprechung im interdisziplinären Tumorboard.</w:t>
      </w:r>
    </w:p>
    <w:p>
      <w:r>
        <w:rPr>
          <w:b w:val="0"/>
          <w:i w:val="0"/>
          <w:sz w:val="22"/>
        </w:rPr>
        <w:t>Zur Früherkennung empfehlen wir bei Mutationsträgern mit positiver Pankreas-Familienanamnese eine Surveillance mittels Endosonographie und/oder MRT-MRCP ab dem 50. Lebensjahr (bzw. 10 Jahre vor dem jüngsten Erkrankungsalter in der Familie) gemäß CAPS-Konsortium-Leitlinien.</w:t>
      </w:r>
    </w:p>
    <w:p/>
    <w:p>
      <w:r>
        <w:rPr>
          <w:b/>
          <w:i w:val="0"/>
          <w:sz w:val="22"/>
        </w:rPr>
        <w:t>PALB2-Mutation</w:t>
      </w:r>
    </w:p>
    <w:p>
      <w:r>
        <w:rPr>
          <w:b w:val="0"/>
          <w:i w:val="0"/>
          <w:sz w:val="22"/>
        </w:rPr>
        <w:t>Bei dem Patienten / der Patientin wurde eine PALB2-Keimbahnmutation nachgewiesen. PALB2 ist nach BRCA2 der zweithäufigste hereditäre Risikofaktor für das Pankreaskarzinom und ebenfalls mit einem erhöhten Mammakarzinomrisiko assoziiert. Wir empfehlen eine humangenetische Beratung und Testung erstgradig Verwandter sowie eine Surveillance wie bei BRCA2 (s.o.).</w:t>
      </w:r>
    </w:p>
    <w:p/>
    <w:p>
      <w:r>
        <w:rPr>
          <w:b/>
          <w:i w:val="0"/>
          <w:sz w:val="22"/>
        </w:rPr>
        <w:t>ATM-Mutation</w:t>
      </w:r>
    </w:p>
    <w:p>
      <w:r>
        <w:rPr>
          <w:b w:val="0"/>
          <w:i w:val="0"/>
          <w:sz w:val="22"/>
        </w:rPr>
        <w:t>Bei dem Patienten / der Patientin wurde eine heterozygote ATM-Keimbahnmutation nachgewiesen. ATM-Mutationen sind mit einem 2–5-fach erhöhten Pankreaskarzinomrisiko assoziiert. Wir empfehlen eine humangenetische Beratung. Bei positiver Familienanamnese für Pankreaskarzinom empfehlen wir eine Surveillance analog den CAPS-Empfehlungen.</w:t>
      </w:r>
    </w:p>
    <w:p/>
    <w:p>
      <w:r>
        <w:rPr>
          <w:b w:val="0"/>
          <w:i/>
          <w:sz w:val="18"/>
        </w:rPr>
        <w:t>Surveillance-Empfehlungen basieren auf den CAPS-Konsortium-Leitlinien (Gastroenterology 2020). Individuelle Risikostratifizierung in Absprache mit einem spezialisierten Zentrum empfohlen.</w:t>
      </w:r>
    </w:p>
    <w:p>
      <w:r>
        <w:rPr>
          <w:b w:val="0"/>
          <w:i w:val="0"/>
          <w:color w:val="BBBBBB"/>
          <w:sz w:val="18"/>
        </w:rPr>
        <w:t>───────────────────────────────────────────────────────</w:t>
      </w:r>
    </w:p>
    <w:p>
      <w:r>
        <w:rPr>
          <w:b w:val="0"/>
          <w:i/>
          <w:sz w:val="18"/>
        </w:rPr>
        <w:t>Dr. med. Kristin Koschny · Assistenzärztin Gastroenterologie · GFGB-Jahrestagung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2026-04-02T21:10:36.231Z</dcterms:created>
  <dcterms:modified xsi:type="dcterms:W3CDTF">2026-04-02T21:10:36.231Z</dcterms:modified>
</cp:coreProperties>
</file>

<file path=docProps/custom.xml><?xml version="1.0" encoding="utf-8"?>
<Properties xmlns="http://schemas.openxmlformats.org/officeDocument/2006/custom-properties" xmlns:vt="http://schemas.openxmlformats.org/officeDocument/2006/docPropsVTypes"/>
</file>