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nachgewiesenem Magenkarzinom empfehlen wir entsprechend der aktuellen Leitlinien ein Screening erstgradig Verwandter auf Helicobacter pylori. Bei positivem Nachweis sollte eine Eradikation eingeleitet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Empfehlung: Wir empfehlen eine Eradikationstherapie als Bismuth-Quadruple-Therapie (Pylera® × 10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Eradikationskontrolle: Wir empfehlen eine Kontrolle frühestens 4 Wochen nach Therapieende, bevorzugt mittels ¹³C-Harnstoff-Atemtest oder H.-pylori-Stuhl-Antigen (beide gleichwertig valide). PPI-Pause mindestens 2 Wochen, Antibiotika-Pause mindestens 4 Wochen vor dem Test.</w:t>
      </w:r>
    </w:p>
    <w:p>
      <w:pPr>
        <w:spacing w:before="120" w:after="40"/>
      </w:pPr>
      <w:r>
        <w:rPr>
          <w:b/>
          <w:i w:val="0"/>
          <w:sz w:val="22"/>
        </w:rPr>
        <w:t>Eradikationsversagen:</w:t>
      </w:r>
    </w:p>
    <w:p>
      <w:pPr>
        <w:spacing w:before="0" w:after="160"/>
      </w:pPr>
      <w:r>
        <w:rPr>
          <w:b w:val="0"/>
          <w:i w:val="0"/>
          <w:sz w:val="22"/>
        </w:rPr>
        <w:t>Bei Therapieversagen (persistierender Nachweis nach Eradikationskontrolle) empfehlen wir eine Resistenztestung (Kultur und Antibiogramm aus Magenbiopsien) vor Einleitung einer Rescue-Therapie. Eine empirische Zweitlinientherapie ohne Resistenzdiagnostik ist bei steigenden Clarithromycin- und Metronidazol-Resistenzraten nicht empfehlenswert.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>Baustein 3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Risikopatienten — z. B. nach vorherigem Therapieabbruch, bekannter Unverträglichkeit oder gastrointestinaler Beschwerden unter Antibiotika — kann der begleitende Einsatz von Probiotika erwogen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>Probiotika können die Eradikationsrate verbessern und gastrointestinale Nebenwirkungen (Diarrhö, Übelkeit) reduzieren. Geeignete Präparate: Bifidobacterium longum, Lactobacillus-Spezies oder Saccharomyces boulardii — idealerweise bereits einige Tage vor Therapiebeginn starten.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>Cave: Probiotika nicht zeitgleich mit dem Antibiotikum einnehmen – mindestens 2 Stunden Abstand einhalten.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─────────────────────────────────────────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i w:val="0"/>
          <w:sz w:val="22"/>
          <w:szCs w:val="22"/>
        </w:rPr>
        <w:t>Baustein 4 – Haushaltsmitglieder</w:t>
      </w:r>
    </w:p>
    <w:p>
      <w:pPr>
        <w:spacing w:after="80" w:before="60"/>
      </w:pPr>
      <w:r>
        <w:rPr>
          <w:rFonts w:ascii="Calibri" w:cs="Calibri" w:eastAsia="Calibri" w:hAnsi="Calibri"/>
          <w:i w:val="0"/>
          <w:iCs/>
          <w:color w:val="6B7F80"/>
          <w:sz w:val="19"/>
          <w:szCs w:val="19"/>
        </w:rPr>
        <w:t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  <w:br/>
        <w:br/>
        <w:t>Im Rahmen der Magenkrebs-Prävention empfehlen wir darüber hinaus eine gezielte Familienanamnese hinsichtlich gastraler Malignome. Bei entsprechender Familienanamnese (Magenkarzinom bei Erstgradigverwandten) befürworten wir ein Test-and-Treat-Vorgehen für H. pylori — auch bei asymptomatischen Angehörigen — als niedrigschwellige und evidenzbasierte Präventionsmaßnahme.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