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Lynch-Syndrom &amp; ASS – Textbaustein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Koloskopie-Befund bei Lynch-Syndrom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Koloskopie-Indikation: Surveillance bei Lynch-Syndrom ([Mutation]).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[Befundbeschreibung: z. B. Kein Polyp nachweisbar. / Polyp abgetragen, Histologie angefordert.]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Bei gesichertem Lynch-Syndrom empfehlen wir die tägliche Einnahme von ASS 100 mg (enteric coated) zur Chemoprävention des kolorektalen Karzinoms. Bitte ggf. mit dem weiterbehandelnden Arzt besprechen.</w:t>
      </w:r>
    </w:p>
    <w:p>
      <w:r>
        <w:rPr>
          <w:b w:val="0"/>
          <w:i w:val="0"/>
          <w:sz w:val="22"/>
        </w:rPr>
        <w:t>Bei Erstdiagnose eines Lynch-Syndroms empfehlen wir eine humangenetische Beratung sowie eine Keimbahndiagnostik der MMR-Gene (MLH1, MSH2, MSH6, PMS2, EPCAM), sofern noch nicht erfolgt. Erstgradig Verwandte sollten ebenfalls beraten werden.</w:t>
      </w:r>
    </w:p>
    <w:p>
      <w:r>
        <w:rPr>
          <w:sz w:val="22"/>
        </w:rPr>
        <w:t>Bei Nachweis einer MSH2-Mutation empfehlen wir zusätzlich ein Screening auf Helicobacter pylori sowie eine Eradikation bei positivem Nachweis, da MSH2-Träger ein erhöhtes Risiko für Magenkarzinome aufweisen.</w:t>
      </w:r>
    </w:p>
    <w:p>
      <w:r>
        <w:rPr>
          <w:b w:val="0"/>
          <w:i w:val="0"/>
          <w:sz w:val="22"/>
        </w:rPr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ASS ist in dieser Indikation Off-Label. Aufklärung und Dokumentation empfohlen.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p/>
    <w:p>
      <w:r>
        <w:rPr>
          <w:b w:val="0"/>
          <w:i w:val="0"/>
          <w:sz w:val="22"/>
        </w:rPr>
        <w:t>Bei Nachweis von ≥10 Adenomen in der Koloskopie empfehlen wir eine humangenetische Beratung zum Ausschluss eines hereditären Polyposis-Syndroms (u.a. attenuierte FAP, MUTYH-assoziierte Polyposis). Dies gilt auch bei zufälligem Befund im Rahmen der Vorsorgekoloskopie.</w:t>
      </w:r>
    </w:p>
    <w:p>
      <w:r>
        <w:rPr>
          <w:b/>
          <w:i w:val="0"/>
          <w:sz w:val="22"/>
        </w:rPr>
        <w:t>Baustein 2 – Zufallsbefund ≥10 Adenome in der Koloskopie</w:t>
      </w:r>
    </w:p>
    <w:p>
      <w:r>
        <w:rPr>
          <w:b w:val="0"/>
          <w:i w:val="0"/>
          <w:color w:val="BBBBBB"/>
          <w:sz w:val="18"/>
        </w:rPr>
        <w:t>───────────────────────────────────────────────────────</w:t>
      </w:r>
    </w:p>
    <w:p/>
    <w:p>
      <w:r>
        <w:rPr>
          <w:b w:val="0"/>
          <w:i w:val="0"/>
          <w:sz w:val="22"/>
        </w:rPr>
        <w:t>Bei Nachweis eines Magenkarzinoms vom diffusen Typ (Siegelringzellkarzinom / lobuläres Wachstumsmuster) empfehlen wir eine ausführliche Familienanamnese hinsichtlich diffuser Magenkarzinome und lobulärer Mammakarzinome. Bei Erfüllung der IGCLC-Kriterien (u.a. ≥2 Fälle von diffusem Magenkarzinom in der Familie, Erstdiagnose vor dem 50. Lebensjahr, oder diffuses Magenkarzinom vor dem 35. Lebensjahr) empfehlen wir eine humangenetische Beratung und ggf. CDH1-Keimbahndiagnostik.</w:t>
      </w:r>
    </w:p>
    <w:p>
      <w:r>
        <w:rPr>
          <w:b/>
          <w:i w:val="0"/>
          <w:sz w:val="22"/>
        </w:rPr>
        <w:t>Baustein 3 – Diffuses Magenkarzinom (Verdacht HDGC / CDH1-Mutation)</w:t>
      </w:r>
    </w:p>
    <w:p>
      <w:r>
        <w:rPr>
          <w:b w:val="0"/>
          <w:i w:val="0"/>
          <w:color w:val="BBBBBB"/>
          <w:sz w:val="18"/>
        </w:rPr>
        <w:t>───────────────────────────────────────────────────────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2026-04-02T21:10:36.231Z</dcterms:created>
  <dcterms:modified xsi:type="dcterms:W3CDTF">2026-04-02T21:10:36.231Z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