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Genetische Beratung – Textbausteine</w:t>
      </w:r>
    </w:p>
    <w:p>
      <w:pPr>
        <w:jc w:val="center"/>
      </w:pPr>
      <w:r>
        <w:rPr>
          <w:i/>
          <w:sz w:val="20"/>
        </w:rPr>
        <w:t>Dr. med. K. Koschny · Gastroenterologie · GFGB 2026</w:t>
      </w:r>
    </w:p>
    <w:p/>
    <w:p>
      <w:r>
        <w:rPr>
          <w:b/>
          <w:sz w:val="24"/>
        </w:rPr>
        <w:t>Baustein 1 – Hereditäres kolorektales Karzinom / Polyposis-Syndrome</w:t>
      </w:r>
    </w:p>
    <w:p>
      <w:r>
        <w:rPr>
          <w:i w:val="0"/>
          <w:sz w:val="22"/>
        </w:rPr>
        <w:t>Im Rahmen der gastroenterologischen Vorsorge und Nachsorge empfehlen wir eine humangenetische Beratung bei folgenden Konstellationen:</w:t>
      </w:r>
    </w:p>
    <w:p>
      <w:r>
        <w:rPr>
          <w:b/>
          <w:sz w:val="22"/>
        </w:rPr>
        <w:t>Lynch-Syndrom (hereditäres nicht-polypöses KRK, HNPCC)</w:t>
      </w:r>
    </w:p>
    <w:p>
      <w:r>
        <w:rPr>
          <w:i w:val="0"/>
          <w:sz w:val="22"/>
        </w:rPr>
        <w:t>Indikation: Nachweis einer Mikrosatelliteninstabilität (MSI-H) oder eines Mismatch-Repair-Defekts (dMMR) im Tumorgewebe; Verlust eines MMR-Proteins (MLH1, MSH2, MSH6, PMS2) in der Immunhistochemie; Erfüllung der revidierten Bethesda-Kriterien; KRK-Erstdiagnose vor dem 70. Lebensjahr (leitliniengemäße Reflextest-Empfehlung nach S3-Leitlinie KRK 2024).</w:t>
      </w:r>
    </w:p>
    <w:p>
      <w:r>
        <w:rPr>
          <w:i w:val="0"/>
          <w:sz w:val="22"/>
        </w:rPr>
        <w:t>Empfehlung: Wir empfehlen eine humangenetische Beratung und ggf. Keimbahndiagnostik der MMR-Gene (MLH1, MSH2, MSH6, PMS2, EPCAM). Erstgradig Verwandte sollten ebenfalls beraten und ggf. auf eine Mutation getestet werden.</w:t>
      </w:r>
    </w:p>
    <w:p/>
    <w:p>
      <w:r>
        <w:rPr>
          <w:b/>
          <w:sz w:val="22"/>
        </w:rPr>
        <w:t>Familiäre adenomatöse Polyposis (FAP) — APC-Mutation</w:t>
      </w:r>
    </w:p>
    <w:p>
      <w:r>
        <w:rPr>
          <w:i w:val="0"/>
          <w:sz w:val="22"/>
        </w:rPr>
        <w:t>Indikation: Nachweis von ≥10 kolorektalen Adenomen (klassische FAP: &gt;100 Adenome; attenuierte FAP: 10–99 Adenome); positive Familienanamnese für FAP oder desmoidassoziierte Tumoren.</w:t>
      </w:r>
    </w:p>
    <w:p>
      <w:r>
        <w:rPr>
          <w:i w:val="0"/>
          <w:sz w:val="22"/>
        </w:rPr>
        <w:t>Empfehlung: Humangenetische Beratung und APC-Keimbahndiagnostik. Bei gesicherter Mutation: Surveillance und prophylaktische Kolektomie nach interdisziplinärer Abwägung; Familienscreening erstgradig Verwandter.</w:t>
      </w:r>
    </w:p>
    <w:p/>
    <w:p>
      <w:r>
        <w:rPr>
          <w:b/>
          <w:sz w:val="22"/>
        </w:rPr>
        <w:t>MUTYH-assoziierte Polyposis (MAP) — MUTYH-Mutation</w:t>
      </w:r>
    </w:p>
    <w:p>
      <w:r>
        <w:rPr>
          <w:i w:val="0"/>
          <w:sz w:val="22"/>
        </w:rPr>
        <w:t>Indikation: 10–100 kolorektale Adenome ohne nachweisbare APC-Mutation; autosomal-rezessiver Erbgang möglich (biallele MUTYH-Mutation).</w:t>
      </w:r>
    </w:p>
    <w:p>
      <w:r>
        <w:rPr>
          <w:i w:val="0"/>
          <w:sz w:val="22"/>
        </w:rPr>
        <w:t>Empfehlung: Humangenetische Beratung und MUTYH-Keimbahndiagnostik (beide Allele). Geschwister von MAP-Patienten haben ein 25%iges Erkrankungsrisiko und sollten beraten werden.</w:t>
      </w:r>
    </w:p>
    <w:p/>
    <w:p>
      <w:r>
        <w:rPr>
          <w:b/>
          <w:sz w:val="22"/>
        </w:rPr>
        <w:t>Weitere Polyposis-Syndrome</w:t>
      </w:r>
    </w:p>
    <w:p>
      <w:r>
        <w:rPr>
          <w:i w:val="0"/>
          <w:sz w:val="22"/>
        </w:rPr>
        <w:t>Peutz-Jeghers-Syndrom (STK11-Mutation): Indikation bei hamartomatösen Polypen und/oder periorifzieller Melaninpigmentierung. Erhöhtes Risiko für KRK, Magen-, Dünndarm-, Pankreas- und Mammakarzinom.</w:t>
      </w:r>
    </w:p>
    <w:p>
      <w:r>
        <w:rPr>
          <w:i w:val="0"/>
          <w:sz w:val="22"/>
        </w:rPr>
        <w:t>Juvenile Polyposis (SMAD4 / BMPR1A-Mutation): Indikation bei ≥5 juvenilen Polypen im Kolorektum oder juvenilen Polypen im gesamten GI-Trakt. Cave: SMAD4-Mutation assoziiert mit hereditärer hämorrhagischer Teleangiektasie (HHT).</w:t>
      </w:r>
    </w:p>
    <w:p>
      <w:r>
        <w:rPr>
          <w:color w:val="BBBBBB"/>
          <w:sz w:val="18"/>
        </w:rPr>
        <w:t>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Baustein 2 – Hereditäres Magenkarzinom</w:t>
      </w:r>
    </w:p>
    <w:p>
      <w:r>
        <w:rPr>
          <w:b/>
          <w:sz w:val="22"/>
        </w:rPr>
        <w:t>Hereditary Diffuse Gastric Cancer (HDGC) — CDH1-Mutation</w:t>
      </w:r>
    </w:p>
    <w:p>
      <w:r>
        <w:rPr>
          <w:i w:val="0"/>
          <w:sz w:val="22"/>
        </w:rPr>
        <w:t>Indikation (gemäß IGCLC-Leitlinien 2020): Zwei oder mehr Fälle von diffusem Magenkarzinom (DGC) in der Familie, davon mindestens einer vor dem 50. Lebensjahr; ein Fall von DGC und ein Fall von lobulärem Mammakarzinom in der Familie; bilaterales lobuläres Mammakarzinom vor dem 70. Lebensjahr; DGC vor dem 35. Lebensjahr (unabhängig von Familienanamnese); Siegelringzell-Karzinom-Anteil &gt;10% in der Histologie bei positiver Familienanamnese.</w:t>
      </w:r>
    </w:p>
    <w:p>
      <w:r>
        <w:rPr>
          <w:i w:val="0"/>
          <w:sz w:val="22"/>
        </w:rPr>
        <w:t>Empfehlung: Humangenetische Beratung und CDH1-Keimbahndiagnostik. Bei gesicherter Mutation: Prophylaktische totale Gastrektomie nach Aufklärung und interdisziplinärer Abwägung; jährliche Überwachungsgastroskopie bei Mutationsträgern, die keine Gastrektomie wünschen (Cambridge-Protokoll mit Zufallsbiopsien).</w:t>
      </w:r>
    </w:p>
    <w:p/>
    <w:p>
      <w:r>
        <w:rPr>
          <w:b/>
          <w:sz w:val="22"/>
        </w:rPr>
        <w:t>Lynch-Syndrom mit erhöhtem Magenrisiko (MSH2-Mutation)</w:t>
      </w:r>
    </w:p>
    <w:p>
      <w:r>
        <w:rPr>
          <w:i w:val="0"/>
          <w:sz w:val="22"/>
        </w:rPr>
        <w:t>MSH2-Mutationsträger haben ein erhöhtes Risiko für Magenkarzinome (kumulatives Risiko bis zu 10%). Bei gesichertem Lynch-Syndrom und positiver Magenanamnese oder Herkunft aus einem H.-pylori-Hochprävalenzland empfehlen wir zusätzlich eine H.-pylori-Eradikation und regelmäßige Überwachungsgastroskopie nach individueller Risikostratifizierung.</w:t>
      </w:r>
    </w:p>
    <w:p>
      <w:r>
        <w:rPr>
          <w:color w:val="BBBBBB"/>
          <w:sz w:val="18"/>
        </w:rPr>
        <w:t>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Baustein 3 – Hereditäres Pankreaskarzinom</w:t>
      </w:r>
    </w:p>
    <w:p>
      <w:r>
        <w:rPr>
          <w:i w:val="0"/>
          <w:sz w:val="22"/>
        </w:rPr>
        <w:t>Das hereditäre Pankreaskarzinom macht ca. 5–10% aller Pankreaskarzinome aus. Eine humangenetische Beratung empfehlen wir bei folgenden Konstellationen:</w:t>
      </w:r>
    </w:p>
    <w:p>
      <w:r>
        <w:rPr>
          <w:b/>
          <w:sz w:val="22"/>
        </w:rPr>
        <w:t>BRCA1/2-Mutation</w:t>
      </w:r>
    </w:p>
    <w:p>
      <w:r>
        <w:rPr>
          <w:i w:val="0"/>
          <w:sz w:val="22"/>
        </w:rPr>
        <w:t>Indikation: Mindestens zwei erstgradig oder zweitgradig Verwandte mit Pankreaskarzinom; bekannte BRCA1/2-Mutation in der Familie; Pankreaskarzinom in Kombination mit Mamma-, Ovarial- oder Prostatakarzinom in der Familienanamnese.</w:t>
      </w:r>
    </w:p>
    <w:p>
      <w:r>
        <w:rPr>
          <w:i w:val="0"/>
          <w:sz w:val="22"/>
        </w:rPr>
        <w:t>Klinische Relevanz: BRCA2-Mutationsträger haben ein ca. 5–10-fach erhöhtes Pankreaskarzinom-Risiko. Therapeutisch relevant: PARP-Inhibitoren (Olaparib) sind bei BRCA-mutiertem, metastasiertem Pankreaskarzinom zugelassen — eine Keimbahndiagnostik hat daher direkte therapeutische Konsequenz.</w:t>
      </w:r>
    </w:p>
    <w:p/>
    <w:p>
      <w:r>
        <w:rPr>
          <w:b/>
          <w:sz w:val="22"/>
        </w:rPr>
        <w:t>PALB2-Mutation</w:t>
      </w:r>
    </w:p>
    <w:p>
      <w:r>
        <w:rPr>
          <w:i w:val="0"/>
          <w:sz w:val="22"/>
        </w:rPr>
        <w:t>Indikation: Familiäre Häufung von Pankreaskarzinom, insbesondere in Kombination mit Mammakarzinom. PALB2 ist nach BRCA2 der zweithäufigste hereditäre Risikofaktor für Pankreaskarzinom.</w:t>
      </w:r>
    </w:p>
    <w:p/>
    <w:p>
      <w:r>
        <w:rPr>
          <w:b/>
          <w:sz w:val="22"/>
        </w:rPr>
        <w:t>ATM-Mutation</w:t>
      </w:r>
    </w:p>
    <w:p>
      <w:r>
        <w:rPr>
          <w:i w:val="0"/>
          <w:sz w:val="22"/>
        </w:rPr>
        <w:t>Heterozygote ATM-Keimbahnmutationen sind mit einem 2–5-fach erhöhten Pankreaskarzinom-Risiko assoziiert. Indikation zur Beratung bei familiärer Häufung von Pankreaskarzinom oder kombiniertem Auftreten mit Mamma- oder Prostatakarzinom.</w:t>
      </w:r>
    </w:p>
    <w:p/>
    <w:p>
      <w:r>
        <w:rPr>
          <w:b/>
          <w:sz w:val="22"/>
        </w:rPr>
        <w:t>Lynch-Syndrom (MLH1, MSH2, MSH6, PMS2)</w:t>
      </w:r>
    </w:p>
    <w:p>
      <w:r>
        <w:rPr>
          <w:i w:val="0"/>
          <w:sz w:val="22"/>
        </w:rPr>
        <w:t>Lynch-Syndrom-Träger haben ein moderat erhöhtes Pankreaskarzinom-Risiko. Bei bekanntem Lynch-Syndrom und positiver Pankreas-Familienanamnese individuelle Surveillance-Empfehlung nach Leitlinie.</w:t>
      </w:r>
    </w:p>
    <w:p/>
    <w:p>
      <w:r>
        <w:rPr>
          <w:b/>
          <w:sz w:val="22"/>
        </w:rPr>
        <w:t>Surveillance bei gesicherter Hochrisiko-Konstellation</w:t>
      </w:r>
    </w:p>
    <w:p>
      <w:r>
        <w:rPr>
          <w:i w:val="0"/>
          <w:sz w:val="22"/>
        </w:rPr>
        <w:t>Bei gesicherter hereditärer Risikokonstellation (BRCA2, PALB2, ATM, Lynch) und mindestens einem weiteren betroffenen Erstgradigverwandten empfehlen wir eine Surveillance-Endosonographie und/oder MRT-MRCP ab dem 50. Lebensjahr (oder 10 Jahre vor dem jüngsten Erkrankungsalter in der Familie) gemäß den Empfehlungen der CAPS-Konsortium-Leitlinien.</w:t>
      </w:r>
    </w:p>
    <w:p>
      <w:r>
        <w:rPr>
          <w:color w:val="BBBBBB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sz w:val="18"/>
        </w:rPr>
        <w:t>Dr. med. Kristin Koschny · Assistenzärztin Gastroenterologie · GFGB-Jahrestagung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