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1696F" w:val="clear"/>
        <w:spacing w:after="0" w:before="300"/>
        <w:jc w:val="center"/>
      </w:pPr>
      <w:r>
        <w:rPr>
          <w:rFonts w:ascii="Segoe UI Emoji" w:cs="Segoe UI Emoji" w:eastAsia="Segoe UI Emoji" w:hAnsi="Segoe UI Emoji"/>
          <w:color w:val="FFFFFF"/>
          <w:sz w:val="80"/>
          <w:szCs w:val="80"/>
        </w:rPr>
        <w:t xml:space="preserve">🪳</w:t>
      </w:r>
    </w:p>
    <w:p>
      <w:pPr>
        <w:shd w:fill="01696F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Pankreatitis – Nachsorge-Textbausteine</w:t>
      </w:r>
    </w:p>
    <w:p>
      <w:pPr>
        <w:shd w:fill="01696F" w:val="clear"/>
        <w:spacing w:after="60" w:before="0"/>
        <w:jc w:val="center"/>
      </w:pPr>
      <w:r>
        <w:rPr>
          <w:rFonts w:ascii="Calibri" w:cs="Calibri" w:eastAsia="Calibri" w:hAnsi="Calibri"/>
          <w:i/>
          <w:iCs/>
          <w:color w:val="CCE9EA"/>
          <w:sz w:val="22"/>
          <w:szCs w:val="22"/>
        </w:rPr>
        <w:t xml:space="preserve">Leitliniengerechte Formulierungen für Arztbrief und Endoskopiebefund</w:t>
      </w:r>
    </w:p>
    <w:p>
      <w:pPr>
        <w:shd w:fill="01696F" w:val="clear"/>
        <w:spacing w:after="80" w:before="0"/>
        <w:jc w:val="center"/>
      </w:pPr>
      <w:r>
        <w:rPr>
          <w:rFonts w:ascii="Calibri" w:cs="Calibri" w:eastAsia="Calibri" w:hAnsi="Calibri"/>
          <w:color w:val="CCE9EA"/>
          <w:sz w:val="20"/>
          <w:szCs w:val="20"/>
        </w:rPr>
        <w:t xml:space="preserve">DGVS S3-Leitlinie 2024 · Stand: April 2026 · Dr. med. Kristin Koschny</w:t>
      </w:r>
    </w:p>
    <w:p>
      <w:pPr>
        <w:spacing w:after="0" w:before="240"/>
      </w:pP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Die DGVS-Leitlinie 2024 empfiehlt eine strukturierte Nachsorge nach Pankreatitis – je nach Schweregrad, Ätiologie und Verlauf.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In der Praxis wird diese Empfehlung häufig nicht systematisch umgesetzt.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Die folgenden Textbausteine erleichtern die leitliniengerechte Dokumentation.</w:t>
      </w:r>
    </w:p>
    <w:p>
      <w:pPr>
        <w:spacing w:after="0" w:before="120"/>
      </w:pPr>
    </w:p>
    <w:p>
      <w:pPr>
        <w:pBdr>
          <w:bottom w:val="single" w:color="D4D1CA" w:sz="6"/>
        </w:pBdr>
        <w:spacing w:after="120" w:before="120"/>
      </w:pPr>
    </w:p>
    <w:p>
      <w:pPr>
        <w:shd w:fill="01696F" w:val="clear"/>
        <w:spacing w:after="0" w:before="340"/>
        <w:ind w:left="0" w:righ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Schwere / nekrotisierende Pankreatitis</w:t>
      </w:r>
    </w:p>
    <w:p>
      <w:pPr>
        <w:spacing w:after="0" w:before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474D"/>
          <w:sz w:val="22"/>
          <w:szCs w:val="22"/>
        </w:rPr>
        <w:t xml:space="preserve">Entlassungsbrief / Arztbrief: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A7101" w:sz="2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Im Rahmen des stationären Aufenthalts bestand eine schwere/nekrotisierende Pankreatitis (Schweregrad: __).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Gemäß DGVS-S3-Leitlinie 2024 (Empfehlung 10.1) empfehle ich eine strukturierte gastroenterologische Nachsorge: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Kontrolltermin nach 4–6 Wochen (klinisch, Labor, Bildgebung)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Jährliche Verlaufskontrolle für mindestens 5 Jahre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Überwachung auf exokrine Insuffizienz (Elastase im Stuhl), endokrine Insuffizienz (HbA1c, Nüchternglukose)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   und Neoplasieentwicklung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Bei Alkohol-induzierter Pankreatitis: Alkoholkarenz und strukturierte Suchtberatung dringend empfohlen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   (RCT-Evidenz: Rezidivreduktion um 50 %)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single" w:color="DA7101" w:sz="2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Bitte Vorstellung in gastroenterologischer Ambulanz zeitnah veranlassen.</w:t>
            </w:r>
          </w:p>
        </w:tc>
      </w:tr>
    </w:tbl>
    <w:p>
      <w:pPr>
        <w:spacing w:after="0" w:before="160"/>
      </w:pPr>
    </w:p>
    <w:p>
      <w:pPr>
        <w:pBdr>
          <w:bottom w:val="single" w:color="D4D1CA" w:sz="6"/>
        </w:pBdr>
        <w:spacing w:after="120" w:before="120"/>
      </w:pPr>
    </w:p>
    <w:p>
      <w:pPr>
        <w:shd w:fill="01696F" w:val="clear"/>
        <w:spacing w:after="0" w:before="340"/>
        <w:ind w:left="0" w:righ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Kryptogene Pankreatitis &gt;40 Jahre</w:t>
      </w:r>
    </w:p>
    <w:p>
      <w:pPr>
        <w:spacing w:after="0" w:before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474D"/>
          <w:sz w:val="22"/>
          <w:szCs w:val="22"/>
        </w:rPr>
        <w:t xml:space="preserve">Endoskopiebefund / Arztbrief: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A7101" w:sz="2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Nachweis einer Pankreatitis ungeklärter Ätiologie bei einem Patienten &gt;40 Jahren.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Gemäß DGVS-S3-Leitlinie 2024 besteht bei kryptogener Pankreatitis und Alter &gt;40 Jahren eine Indikation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zur erweiterten Abklärung und strukturierten Bildgebungs-Nachsorge zum Ausschluss einer Neoplasie (IPMN, PDAC).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Empfehlung: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EUS oder MRT/MRCP (bevorzugte Modalität) zum Ausschluss von Pankreaszysten (IPMN) und Raumforderungen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CA19-9 (cave: eingeschränkte Spezifität bei Pankreatitis)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Bei unauffälligem Befund: jährliche Bildgebung für 2 Jahre, dann reevaluieren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Bei Nachweis von Pankreaszysten: Nachsorge gemäß europäischer IPMN-Leitlinie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   (European Study Group on Cystic Tumors of the Pancreas)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single" w:color="DA7101" w:sz="2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Malignitatsverdacht: zeitnahe Vorstellung im zertifizierten Pankreaszentrum</w:t>
            </w:r>
          </w:p>
        </w:tc>
      </w:tr>
    </w:tbl>
    <w:p>
      <w:pPr>
        <w:spacing w:after="0" w:before="160"/>
      </w:pPr>
    </w:p>
    <w:p>
      <w:pPr>
        <w:pBdr>
          <w:bottom w:val="single" w:color="D4D1CA" w:sz="6"/>
        </w:pBdr>
        <w:spacing w:after="120" w:before="120"/>
      </w:pPr>
    </w:p>
    <w:p>
      <w:pPr>
        <w:shd w:fill="01696F" w:val="clear"/>
        <w:spacing w:after="0" w:before="340"/>
        <w:ind w:left="0" w:righ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Alkohol-induzierte Pankreatitis (jeder Schweregrad)</w:t>
      </w:r>
    </w:p>
    <w:p>
      <w:pPr>
        <w:spacing w:after="0" w:before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474D"/>
          <w:sz w:val="22"/>
          <w:szCs w:val="22"/>
        </w:rPr>
        <w:t xml:space="preserve">Arztbrief: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A7101" w:sz="2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Alkohol-induzierte Pankreatitis, Schweregrad: __.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Eine randomisierte Studie (120 Patienten) zeigt, dass strukturierte Nachsorge mit Alkoholberatung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das Rezidivrisiko innerhalb von 24 Monaten von 21 % auf 8 % senkt (p=0,04; DGVS S3-Leitlinie 2024,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Empfehlung 10.1).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Empfehlung: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Dringende Alkoholkarenz – vollständige Abstinenz ist der einzige gesicherte Schutz vor Rezidiv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   und Progression zur chronischen Pankreatitis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Überweisung zu Suchtmedizin / strukturierter Alkoholberatung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nil" w:color="FFFFFF" w:sz="0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Nachsorge in gastroenterologischer Ambulanz nach 4–6 Wochen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thick" w:color="DA7101" w:sz="14"/>
              <w:bottom w:val="single" w:color="DA7101" w:sz="2"/>
              <w:right w:val="single" w:color="DA7101" w:sz="2"/>
            </w:tcBorders>
            <w:shd w:fill="FFF4E5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20"/>
                <w:szCs w:val="20"/>
              </w:rPr>
              <w:t xml:space="preserve">– Bei Rezidiv: erneute vollständige Abklärung inkl. Bildgebung</w:t>
            </w:r>
          </w:p>
        </w:tc>
      </w:tr>
    </w:tbl>
    <w:p>
      <w:pPr>
        <w:spacing w:after="0" w:before="160"/>
      </w:pPr>
    </w:p>
    <w:p>
      <w:pPr>
        <w:pBdr>
          <w:bottom w:val="single" w:color="D4D1CA" w:sz="6"/>
        </w:pBdr>
        <w:spacing w:after="120" w:before="120"/>
      </w:pPr>
    </w:p>
    <w:p>
      <w:pPr>
        <w:shd w:fill="01696F" w:val="clear"/>
        <w:spacing w:after="0" w:before="340"/>
        <w:ind w:left="0" w:right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Nachsorge-Übersicht nach Schweregrad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3038"/>
      </w:tblGrid>
      <w:tr>
        <w:tc>
          <w:tcPr>
            <w:tcW w:type="dxa" w:w="2200"/>
            <w:tcBorders>
              <w:top w:val="single" w:color="1B474D" w:sz="2"/>
              <w:left w:val="single" w:color="1B474D" w:sz="2"/>
              <w:bottom w:val="single" w:color="1B474D" w:sz="2"/>
              <w:right w:val="single" w:color="1B474D" w:sz="2"/>
            </w:tcBorders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Konstellation</w:t>
            </w:r>
          </w:p>
        </w:tc>
        <w:tc>
          <w:tcPr>
            <w:tcW w:type="dxa" w:w="2000"/>
            <w:tcBorders>
              <w:top w:val="single" w:color="1B474D" w:sz="2"/>
              <w:left w:val="single" w:color="1B474D" w:sz="2"/>
              <w:bottom w:val="single" w:color="1B474D" w:sz="2"/>
              <w:right w:val="single" w:color="1B474D" w:sz="2"/>
            </w:tcBorders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Nachsorgeintervall</w:t>
            </w:r>
          </w:p>
        </w:tc>
        <w:tc>
          <w:tcPr>
            <w:tcW w:type="dxa" w:w="2400"/>
            <w:tcBorders>
              <w:top w:val="single" w:color="1B474D" w:sz="2"/>
              <w:left w:val="single" w:color="1B474D" w:sz="2"/>
              <w:bottom w:val="single" w:color="1B474D" w:sz="2"/>
              <w:right w:val="single" w:color="1B474D" w:sz="2"/>
            </w:tcBorders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Bildgebung</w:t>
            </w:r>
          </w:p>
        </w:tc>
        <w:tc>
          <w:tcPr>
            <w:tcW w:type="dxa" w:w="3038"/>
            <w:tcBorders>
              <w:top w:val="single" w:color="1B474D" w:sz="2"/>
              <w:left w:val="single" w:color="1B474D" w:sz="2"/>
              <w:bottom w:val="single" w:color="1B474D" w:sz="2"/>
              <w:right w:val="single" w:color="1B474D" w:sz="2"/>
            </w:tcBorders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Besonderheiten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Milde AP, klare Ätiologie, beschwerdefrei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Keine routinemäßige Nachsorge nötig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Nur bei klinischem Verdacht</w:t>
            </w:r>
          </w:p>
        </w:tc>
        <w:tc>
          <w:tcPr>
            <w:tcW w:type="dxa" w:w="3038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Nicht-milde AP / Nekrose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4–6 Wochen, dann jährlich ≥5 Jahre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CT/MRT bei Komplikationen; FU-Bildgebung jährlich</w:t>
            </w:r>
          </w:p>
        </w:tc>
        <w:tc>
          <w:tcPr>
            <w:tcW w:type="dxa" w:w="3038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Exokrine + endokrine Funktion prüfen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Kryptogene AP &gt;40J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4–6 Wochen, dann jährlich 2 Jahre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MRT/MRCP oder EUS obligat</w:t>
            </w:r>
          </w:p>
        </w:tc>
        <w:tc>
          <w:tcPr>
            <w:tcW w:type="dxa" w:w="3038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CA19-9; IPMN-Screening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Alkohol-induzierte AP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4–6 Wochen, bei Rezidiv sofort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Bildgebung bei Komplikationen</w:t>
            </w:r>
          </w:p>
        </w:tc>
        <w:tc>
          <w:tcPr>
            <w:tcW w:type="dxa" w:w="3038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Suchtberatung, Alkoholkarenz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Heredit. Pankreatitis (PRSS1)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Jährlich ab 40 Jahren</w:t>
            </w:r>
          </w:p>
        </w:tc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MRT/MRCP oder EUS</w:t>
            </w:r>
          </w:p>
        </w:tc>
        <w:tc>
          <w:tcPr>
            <w:tcW w:type="dxa" w:w="3038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E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Spezialisiertes Zentrum; KRK-Risiko 44% kumulativ bis 70J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AP = akute Pankreatitis · IPMN = intraduktale papillär-muzinöse Neoplasie · PDAC = duktales Pankreasadenokarzinom</w:t>
      </w:r>
    </w:p>
    <w:p>
      <w:pPr>
        <w:spacing w:after="0" w:before="200"/>
      </w:pP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Quelle: DGVS S3-Leitlinie Pankreatitis 2024 · https://www.dgvs.de/leitlinien/pankreatitis</w:t>
      </w:r>
    </w:p>
    <w:sectPr>
      <w:headerReference w:type="default" r:id="rId7"/>
      <w:footerReference w:type="default" r:id="rId8"/>
      <w:pgSz w:w="11906" w:h="16838" w:orient="portrait"/>
      <w:pgMar w:top="1400" w:right="1134" w:bottom="14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1CA" w:sz="4"/>
      </w:pBdr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Dr. med. Kristin Koschny · Gastroenterologie · Stand: April 2026 · Quelle: DGVS S3-Leitlinie Pankreatitis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974"/>
        <w:sz w:val="16"/>
        <w:szCs w:val="16"/>
      </w:rPr>
      <w:t xml:space="preserve">Pankreatitis – Nachsorge-Textbausteine · Dr. K. Koschny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2026-04-04T13:09:41.389Z</dcterms:created>
  <dcterms:modified xsi:type="dcterms:W3CDTF">2026-04-04T13:09:41.389Z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