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C4E54"/>
          <w:sz w:val="36"/>
          <w:szCs w:val="36"/>
        </w:rPr>
        <w:t xml:space="preserve">H. pylori – Textbausteine</w:t>
      </w:r>
    </w:p>
    <w:p>
      <w:pPr>
        <w:spacing w:after="240"/>
      </w:pPr>
      <w:r>
        <w:rPr>
          <w:rFonts w:ascii="Calibri" w:cs="Calibri" w:eastAsia="Calibri" w:hAnsi="Calibri"/>
          <w:i/>
          <w:iCs/>
          <w:color w:val="6B7F80"/>
          <w:sz w:val="19"/>
          <w:szCs w:val="19"/>
        </w:rPr>
        <w:t xml:space="preserve">Dr. med. K. Koschny · Gastroenterologie · GFGB 2026</w:t>
      </w:r>
    </w:p>
    <w:p>
      <w:pPr>
        <w:spacing w:after="120" w:before="360"/>
      </w:pPr>
      <w:r>
        <w:rPr>
          <w:rFonts w:ascii="Calibri" w:cs="Calibri" w:eastAsia="Calibri" w:hAnsi="Calibri"/>
          <w:b/>
          <w:bCs/>
          <w:color w:val="0C4E54"/>
          <w:sz w:val="28"/>
          <w:szCs w:val="28"/>
        </w:rPr>
        <w:t xml:space="preserve">Baustein 1 – Erstgradigverwandte bei Magenkarzinom in der Familie</w:t>
      </w:r>
    </w:p>
    <w:p>
      <w:pPr>
        <w:spacing w:after="80" w:before="60"/>
        <w:jc w:val="both"/>
      </w:pPr>
      <w:r>
        <w:rPr>
          <w:rFonts w:ascii="Calibri" w:cs="Calibri" w:eastAsia="Calibri" w:hAnsi="Calibri"/>
          <w:sz w:val="22"/>
          <w:szCs w:val="22"/>
        </w:rPr>
        <w:t xml:space="preserve">Bei bekannter familiärer Belastung durch ein Magenkarzinom (Erstgradigverwandte/r betroffen) empfehlen wir leitliniengerecht ein H.-pylori-Screening. Ein positiver Nachweis sollte konsequent eradiziert werden (Test-and-Treat-Strategie, Maastricht VI 2022). Wir bitten, Herrn/Frau [Name] zur weiteren Diagnostik einzubestellen: bevorzugt mittels ¹³C-Harnstoff-Atemtest (Mittel der Wahl) oder H.-pylori-Stuhl-Antigen. Cave: Abstand zu PPI ≥ 2 Wochen, Abstand zu Antibiotika ≥ 4 Wochen vor dem Test. Bei Nachweis einer Infektion: Eradikationstherapie nach aktuellem Schema, Eradikationskontrolle mittels ¹³C-Atemtest frühestens 4 Wochen nach Therapieende.</w:t>
      </w:r>
    </w:p>
    <w:p>
      <w:pPr>
        <w:spacing w:after="200" w:before="200"/>
      </w:pPr>
      <w:r>
        <w:rPr>
          <w:color w:val="c8dede"/>
          <w:sz w:val="18"/>
          <w:szCs w:val="18"/>
        </w:rPr>
        <w:t xml:space="preserve">─────────────────────────────────────────</w:t>
      </w:r>
    </w:p>
    <w:p>
      <w:pPr>
        <w:spacing w:after="120" w:before="360"/>
      </w:pPr>
      <w:r>
        <w:rPr>
          <w:rFonts w:ascii="Calibri" w:cs="Calibri" w:eastAsia="Calibri" w:hAnsi="Calibri"/>
          <w:b/>
          <w:bCs/>
          <w:color w:val="0C4E54"/>
          <w:sz w:val="28"/>
          <w:szCs w:val="28"/>
        </w:rPr>
        <w:t xml:space="preserve">Baustein 2 – Positiver H. pylori-Nachweis (Routinefall)</w:t>
      </w:r>
    </w:p>
    <w:p>
      <w:pPr>
        <w:spacing w:after="80" w:before="60"/>
        <w:jc w:val="both"/>
      </w:pPr>
      <w:r>
        <w:rPr>
          <w:rFonts w:ascii="Calibri" w:cs="Calibri" w:eastAsia="Calibri" w:hAnsi="Calibri"/>
          <w:sz w:val="22"/>
          <w:szCs w:val="22"/>
        </w:rPr>
        <w:t xml:space="preserve">Befund: Helicobacter-pylori-Infektion gesichert (Nachweis via [¹³C-Atemtest / Stuhl-Antigen / Histologie]). Wir empfehlen eine Eradikationstherapie entsprechend der lokalen Resistenzlage. Bevorzugtes Schema bei Clarithromycin-Resistenz &lt; 15 %: PPI (2×/d) + Clarithromycin 500 mg (2×/d) + Amoxicillin 1 g (2×/d) über 14 Tage. Bei Penicillinallergie oder Resistenzrate ≥ 15 %: Bismuth-Quadruple-Therapie (Pylera®) × 10 Tage oder Levofloxacin-Triple × 14 Tage nach Resistenztestung. Eradikationskontrolle: ¹³C-Atemtest frühestens 4 Wochen nach Therapieende, PPI-Pause ≥ 2 Wochen vor Kontrolltest. Aktuelle Clarithromycin-Resistenzrate in Deutschland: regional 15–25 % (RKI 2022); bei Therapieversagen Resistenztestung via Kultur oder molekularer PCR empfohlen.</w:t>
      </w:r>
    </w:p>
    <w:p>
      <w:pPr>
        <w:spacing w:after="200" w:before="200"/>
      </w:pPr>
      <w:r>
        <w:rPr>
          <w:color w:val="c8dede"/>
          <w:sz w:val="18"/>
          <w:szCs w:val="18"/>
        </w:rPr>
        <w:t xml:space="preserve">─────────────────────────────────────────</w:t>
      </w:r>
    </w:p>
    <w:p>
      <w:pPr>
        <w:spacing w:after="120" w:before="360"/>
      </w:pPr>
      <w:r>
        <w:rPr>
          <w:rFonts w:ascii="Calibri" w:cs="Calibri" w:eastAsia="Calibri" w:hAnsi="Calibri"/>
          <w:b/>
          <w:bCs/>
          <w:color w:val="0C4E54"/>
          <w:sz w:val="28"/>
          <w:szCs w:val="28"/>
        </w:rPr>
        <w:t xml:space="preserve">Baustein 3 – Haushaltsmitglieder ohne familiäre Magenkarzinom-Last</w:t>
      </w:r>
    </w:p>
    <w:p>
      <w:pPr>
        <w:spacing w:after="80" w:before="60"/>
        <w:jc w:val="both"/>
      </w:pPr>
      <w:r>
        <w:rPr>
          <w:rFonts w:ascii="Calibri" w:cs="Calibri" w:eastAsia="Calibri" w:hAnsi="Calibri"/>
          <w:sz w:val="22"/>
          <w:szCs w:val="22"/>
        </w:rPr>
        <w:t xml:space="preserve">Wir weisen darauf hin, dass H. pylori intrafamiliär übertragen werden kann. Ein routinemäßiges Screening asymptomatischer Haushaltsmitglieder ist nach aktueller Leitlinie (Maastricht VI 2022) in Deutschland nicht generell empfohlen. Eine Testung empfehlen wir bei Dyspepsie-Symptomatik (Epigastralgien, postprandiales Völlegefühl), Herkunft aus einem Hochprävalenzland (&gt; 50 %, z. B. Türkei, Osteuropa, Asien), zusätzlichen Risikofaktoren (z. B. NSAID-Dauertherapie, geplante Immunsuppression) oder auf ausdrücklichen Patientenwunsch nach eingehender Aufklärung.</w:t>
      </w:r>
    </w:p>
    <w:p>
      <w:pPr>
        <w:spacing w:after="200" w:before="200"/>
      </w:pPr>
      <w:r>
        <w:rPr>
          <w:color w:val="c8dede"/>
          <w:sz w:val="18"/>
          <w:szCs w:val="18"/>
        </w:rPr>
        <w:t xml:space="preserve">─────────────────────────────────────────</w:t>
      </w:r>
    </w:p>
    <w:p>
      <w:pPr>
        <w:spacing w:after="120" w:before="360"/>
      </w:pPr>
      <w:r>
        <w:rPr>
          <w:rFonts w:ascii="Calibri" w:cs="Calibri" w:eastAsia="Calibri" w:hAnsi="Calibri"/>
          <w:b/>
          <w:bCs/>
          <w:color w:val="0C4E54"/>
          <w:sz w:val="28"/>
          <w:szCs w:val="28"/>
        </w:rPr>
        <w:t xml:space="preserve">Baustein 4 – Eradikationskontrolle nach Therapie</w:t>
      </w:r>
    </w:p>
    <w:p>
      <w:pPr>
        <w:spacing w:after="80" w:before="60"/>
        <w:jc w:val="both"/>
      </w:pPr>
      <w:r>
        <w:rPr>
          <w:rFonts w:ascii="Calibri" w:cs="Calibri" w:eastAsia="Calibri" w:hAnsi="Calibri"/>
          <w:sz w:val="22"/>
          <w:szCs w:val="22"/>
        </w:rPr>
        <w:t xml:space="preserve">Wir bitten um Eradikationskontrolle mittels ¹³C-Harnstoff-Atemtest frühestens 4 Wochen nach Therapieende. PPI-Pause mindestens 2 Wochen, Antibiotika-Pause mindestens 4 Wochen vor dem Test (falsch-negative Ergebnisse möglich). Bei erneutem Nachweis (Therapieversagen): Resistenztestung empfohlen (Kultur aus Biopsie oder molekulare PCR), Rescue-Therapie nach Resistogramm (z. B. Bismuth-Quadruple oder Levofloxacin-basiert). Bei negativem Kontrolltest: Abschluss der Behandlung, keine weitere Kontrolle erforderlich, sofern kein Ulkus, kein MALT-Lymphom und keine Magenkarzinom-Familienanamnese vorliegen.</w:t>
      </w:r>
    </w:p>
    <w:p>
      <w:pPr>
        <w:spacing w:after="200" w:before="200"/>
      </w:pPr>
      <w:r>
        <w:rPr>
          <w:color w:val="c8dede"/>
          <w:sz w:val="18"/>
          <w:szCs w:val="18"/>
        </w:rPr>
        <w:t xml:space="preserve">─────────────────────────────────────────</w:t>
      </w:r>
    </w:p>
    <w:p>
      <w:pPr>
        <w:spacing w:after="120" w:before="360"/>
      </w:pPr>
      <w:r>
        <w:rPr>
          <w:rFonts w:ascii="Calibri" w:cs="Calibri" w:eastAsia="Calibri" w:hAnsi="Calibri"/>
          <w:b/>
          <w:bCs/>
          <w:color w:val="0C4E54"/>
          <w:sz w:val="28"/>
          <w:szCs w:val="28"/>
        </w:rPr>
        <w:t xml:space="preserve">Baustein 5 – Probiotika begleitend zur Eradikationstherapie</w:t>
      </w:r>
    </w:p>
    <w:p>
      <w:pPr>
        <w:spacing w:after="80" w:before="60"/>
        <w:jc w:val="both"/>
      </w:pPr>
      <w:r>
        <w:rPr>
          <w:rFonts w:ascii="Calibri" w:cs="Calibri" w:eastAsia="Calibri" w:hAnsi="Calibri"/>
          <w:sz w:val="22"/>
          <w:szCs w:val="22"/>
        </w:rPr>
        <w:t xml:space="preserve">Begleitend zur Eradikationstherapie kann der Einsatz von Probiotika erwogen werden. Aktuelle Metaanalysen (u. a. Nature Scientific Reports 2024, 534 RCTs; europäische Netzwerk-Metaanalyse 2025) zeigen eine signifikante Reduktion therapiebedingter Nebenwirkungen wie Diarrhö, Übelkeit, Erbrechen und Geschmacksstörungen um ca. 50 % sowie eine moderate Verbesserung der Eradikationsrate. Besonders gut untersucht sind Bifidobacterium longum (OR 2,52 für erfolgreiche Eradikation vs. Kontrolle), Lactobacillus-Spezies sowie Saccharomyces boulardii (insbesondere zur Nebenwirkungsreduktion). Eine Vorbehandlung über mindestens 14 Tage vor Beginn der Antibiotikatherapie scheint den Effekt zu optimieren. Die Gabe sollte für die Dauer der Eradikationstherapie und ggf. darüber hinaus fortgeführt werden.</w:t>
      </w:r>
    </w:p>
    <w:p>
      <w:pPr>
        <w:spacing w:after="80" w:before="60"/>
      </w:pPr>
      <w:r>
        <w:rPr>
          <w:rFonts w:ascii="Calibri" w:cs="Calibri" w:eastAsia="Calibri" w:hAnsi="Calibri"/>
          <w:i/>
          <w:iCs/>
          <w:color w:val="6B7F80"/>
          <w:sz w:val="19"/>
          <w:szCs w:val="19"/>
        </w:rPr>
        <w:t xml:space="preserve">Hinweis: Die Evidenzlage ist insgesamt positiv, ein allgemeiner Leitlinienstandard besteht noch nicht. Der Einsatz ist individuell vertretbar und kann bei erhöhtem Nebenwirkungsrisiko (z. B. vorbekannte Diarrhöneigung, ältere Patient:innen) besonders sinnvoll sein.</w:t>
      </w:r>
    </w:p>
    <w:p>
      <w:pPr>
        <w:spacing w:after="200" w:before="200"/>
      </w:pPr>
      <w:r>
        <w:rPr>
          <w:color w:val="c8dede"/>
          <w:sz w:val="18"/>
          <w:szCs w:val="18"/>
        </w:rPr>
        <w:t xml:space="preserve">─────────────────────────────────────────</w:t>
      </w:r>
    </w:p>
    <w:p>
      <w:pPr>
        <w:spacing w:after="120" w:before="360"/>
      </w:pPr>
      <w:r>
        <w:rPr>
          <w:rFonts w:ascii="Calibri" w:cs="Calibri" w:eastAsia="Calibri" w:hAnsi="Calibri"/>
          <w:b/>
          <w:bCs/>
          <w:color w:val="0C4E54"/>
          <w:sz w:val="28"/>
          <w:szCs w:val="28"/>
        </w:rPr>
        <w:t xml:space="preserve">Testverfahren im Überblick</w:t>
      </w:r>
    </w:p>
    <w:p>
      <w:pPr>
        <w:spacing w:after="80" w:before="60"/>
        <w:jc w:val="both"/>
      </w:pPr>
      <w:r>
        <w:rPr>
          <w:rFonts w:ascii="Calibri" w:cs="Calibri" w:eastAsia="Calibri" w:hAnsi="Calibri"/>
          <w:sz w:val="22"/>
          <w:szCs w:val="22"/>
        </w:rPr>
        <w:t xml:space="preserve">¹³C-Harnstoff-Atemtest: Sensitivität &gt; 95 %, Spezifität &gt; 95 % – Goldstandard, nicht-invasiv; PPI-Pause 2 Wochen erforderlich. Stuhl-Antigen: Sensitivität &gt; 94 %, Spezifität &gt; 97 % – gut für Kinder geeignet, PPI-Pause 2 Wochen erforderlich. Serologie (IgG): ca. 85 % / 79 % – nicht für Eradikationskontrolle geeignet. Histologie/Biopsie: &gt; 95 % / &gt; 95 % – invasiv, Goldstandard bei gleichzeitiger Gastroskopie. Schnell-Urease-Test: 90–95 % / &gt; 95 % – intraoperativ, PPI- und AB-Pause beachten.</w:t>
      </w:r>
    </w:p>
    <w:p>
      <w:pPr>
        <w:spacing w:before="400"/>
      </w:pPr>
      <w:r>
        <w:rPr>
          <w:rFonts w:ascii="Calibri" w:cs="Calibri" w:eastAsia="Calibri" w:hAnsi="Calibri"/>
          <w:i/>
          <w:iCs/>
          <w:color w:val="6B7F80"/>
          <w:sz w:val="18"/>
          <w:szCs w:val="18"/>
        </w:rPr>
        <w:t xml:space="preserve">Dr. med. Kristin Koschny · Assistenzärztin Gastroenterologie · GFGB-Jahrestagung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2026-04-02T20:52:46.672Z</dcterms:created>
  <dcterms:modified xsi:type="dcterms:W3CDTF">2026-04-02T20:52:46.672Z</dcterms:modified>
</cp:coreProperties>
</file>

<file path=docProps/custom.xml><?xml version="1.0" encoding="utf-8"?>
<Properties xmlns="http://schemas.openxmlformats.org/officeDocument/2006/custom-properties" xmlns:vt="http://schemas.openxmlformats.org/officeDocument/2006/docPropsVTypes"/>
</file>