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0C4E54"/>
          <w:sz w:val="36"/>
          <w:szCs w:val="36"/>
        </w:rPr>
        <w:t xml:space="preserve">Lynch-Syndrom &amp; ASS – Textbaustein</w:t>
      </w:r>
    </w:p>
    <w:p>
      <w:pPr>
        <w:spacing w:after="240"/>
      </w:pPr>
      <w:r>
        <w:rPr>
          <w:rFonts w:ascii="Calibri" w:cs="Calibri" w:eastAsia="Calibri" w:hAnsi="Calibri"/>
          <w:i/>
          <w:iCs/>
          <w:color w:val="6B7F80"/>
          <w:sz w:val="19"/>
          <w:szCs w:val="19"/>
        </w:rPr>
        <w:t xml:space="preserve">Dr. med. K. Koschny · Gastroenterologie · GFGB 2026</w:t>
      </w:r>
    </w:p>
    <w:p>
      <w:pPr>
        <w:spacing w:after="120" w:before="360"/>
      </w:pPr>
      <w:r>
        <w:rPr>
          <w:rFonts w:ascii="Calibri" w:cs="Calibri" w:eastAsia="Calibri" w:hAnsi="Calibri"/>
          <w:b/>
          <w:bCs/>
          <w:color w:val="0C4E54"/>
          <w:sz w:val="28"/>
          <w:szCs w:val="28"/>
        </w:rPr>
        <w:t xml:space="preserve">Koloskopie-Befund bei Lynch-Syndrom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Koloskopie-Indikation: Surveillance bei Lynch-Syndrom ([Mutation]).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[Befundbeschreibung: z. B. Kein Polyp nachweisbar. / Polyp abgetragen, Histologie angefordert.]</w:t>
      </w:r>
    </w:p>
    <w:p>
      <w:pPr>
        <w:spacing w:after="100" w:before="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Bei gesichertem Lynch-Syndrom empfehlen wir die tägliche Einnahme von ASS 100 mg (enteric coated) zur Chemoprävention des kolorektalen Karzinoms. Bitte ggf. mit dem weiterbehandelnden Arzt besprechen.</w:t>
      </w:r>
    </w:p>
    <w:p>
      <w:pPr>
        <w:spacing w:after="80" w:before="60"/>
      </w:pPr>
      <w:r>
        <w:rPr>
          <w:rFonts w:ascii="Calibri" w:cs="Calibri" w:eastAsia="Calibri" w:hAnsi="Calibri"/>
          <w:i/>
          <w:iCs/>
          <w:color w:val="6B7F80"/>
          <w:sz w:val="19"/>
          <w:szCs w:val="19"/>
        </w:rPr>
        <w:t xml:space="preserve">ASS ist in dieser Indikation Off-Label. Aufklärung und Dokumentation empfohlen.</w:t>
      </w:r>
    </w:p>
    <w:p>
      <w:pPr>
        <w:spacing w:before="480"/>
      </w:pPr>
      <w:r>
        <w:rPr>
          <w:rFonts w:ascii="Calibri" w:cs="Calibri" w:eastAsia="Calibri" w:hAnsi="Calibri"/>
          <w:i/>
          <w:iCs/>
          <w:color w:val="6B7F80"/>
          <w:sz w:val="18"/>
          <w:szCs w:val="18"/>
        </w:rPr>
        <w:t xml:space="preserve">Dr. med. Kristin Koschny · Assistenzärztin Gastroenterologie · GFGB-Jahrestagung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2026-04-02T21:10:36.231Z</dcterms:created>
  <dcterms:modified xsi:type="dcterms:W3CDTF">2026-04-02T21:10:36.231Z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