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i w:val="0"/>
          <w:sz w:val="28"/>
        </w:rPr>
        <w:t>Lynch-Syndrom – Textbaustein</w:t>
      </w:r>
    </w:p>
    <w:p>
      <w:pPr>
        <w:spacing w:before="0" w:after="200"/>
        <w:jc w:val="center"/>
      </w:pPr>
      <w:r>
        <w:rPr>
          <w:b w:val="0"/>
          <w:i/>
          <w:sz w:val="20"/>
        </w:rPr>
        <w:t>Dr. med. K. Koschny · Gastroenterologie · GFGB 2026</w:t>
      </w:r>
    </w:p>
    <w:p>
      <w:pPr>
        <w:spacing w:before="80" w:after="120"/>
      </w:pPr>
      <w:r>
        <w:rPr>
          <w:b/>
          <w:i w:val="0"/>
          <w:sz w:val="24"/>
        </w:rPr>
        <w:t>Koloskopie-Befund bei Lynch-Syndrom</w:t>
      </w:r>
    </w:p>
    <w:p>
      <w:pPr>
        <w:spacing w:before="0" w:after="40"/>
      </w:pPr>
      <w:r>
        <w:rPr>
          <w:b w:val="0"/>
          <w:i w:val="0"/>
          <w:sz w:val="22"/>
        </w:rPr>
        <w:t>Koloskopie-Indikation: Surveillance bei Lynch-Syndrom ([Mutation]).</w:t>
      </w:r>
    </w:p>
    <w:p>
      <w:pPr>
        <w:spacing w:before="0" w:after="200"/>
      </w:pPr>
      <w:r>
        <w:rPr>
          <w:b w:val="0"/>
          <w:i w:val="0"/>
          <w:sz w:val="22"/>
        </w:rPr>
        <w:t>[Befundbeschreibung: z. B. Kein Polyp nachweisbar. / Polyp abgetragen, Histologie angefordert.]</w:t>
      </w:r>
    </w:p>
    <w:p>
      <w:pPr>
        <w:spacing w:before="120" w:after="40"/>
      </w:pPr>
      <w:r>
        <w:rPr>
          <w:b/>
          <w:i w:val="0"/>
          <w:sz w:val="22"/>
        </w:rPr>
        <w:t>1.  ASS zur Chemoprävention</w:t>
      </w:r>
    </w:p>
    <w:p>
      <w:pPr>
        <w:spacing w:before="0" w:after="40"/>
      </w:pPr>
      <w:r>
        <w:rPr>
          <w:b w:val="0"/>
          <w:i w:val="0"/>
          <w:sz w:val="22"/>
        </w:rPr>
        <w:t>Bei gesichertem Lynch-Syndrom empfehlen wir die tägliche Einnahme von ASS 100 mg (enteric coated) zur Chemoprävention des kolorektalen Karzinoms. Bitte ggf. mit dem weiterbehandelnden Arzt besprechen.</w:t>
      </w:r>
    </w:p>
    <w:p>
      <w:pPr>
        <w:spacing w:before="0" w:after="200"/>
      </w:pPr>
      <w:r>
        <w:rPr>
          <w:b w:val="0"/>
          <w:i/>
          <w:sz w:val="20"/>
        </w:rPr>
        <w:t>Cave: ASS ist in dieser Indikation Off-Label. Aufklärung und Dokumentation empfohlen.</w:t>
      </w:r>
    </w:p>
    <w:p>
      <w:pPr>
        <w:spacing w:before="120" w:after="40"/>
      </w:pPr>
      <w:r>
        <w:rPr>
          <w:b/>
          <w:i w:val="0"/>
          <w:sz w:val="22"/>
        </w:rPr>
        <w:t>2.  Humangenetische Beratung</w:t>
      </w:r>
    </w:p>
    <w:p>
      <w:pPr>
        <w:spacing w:before="0" w:after="200"/>
      </w:pPr>
      <w:r>
        <w:rPr>
          <w:b w:val="0"/>
          <w:i w:val="0"/>
          <w:sz w:val="22"/>
        </w:rPr>
        <w:t>Bei Erstdiagnose eines Lynch-Syndroms empfehlen wir eine humangenetische Beratung sowie eine Keimbahndiagnostik der MMR-Gene (MLH1, MSH2, MSH6, PMS2, EPCAM), sofern noch nicht erfolgt. Erstgradig Verwandte sollten ebenfalls beraten und ggf. getestet werden.</w:t>
      </w:r>
    </w:p>
    <w:p>
      <w:pPr>
        <w:spacing w:before="120" w:after="40"/>
      </w:pPr>
      <w:r>
        <w:rPr>
          <w:b/>
          <w:i w:val="0"/>
          <w:sz w:val="22"/>
        </w:rPr>
        <w:t>3.  H.-pylori-Screening</w:t>
      </w:r>
    </w:p>
    <w:p>
      <w:pPr>
        <w:spacing w:before="0" w:after="200"/>
      </w:pPr>
      <w:r>
        <w:rPr>
          <w:b w:val="0"/>
          <w:i w:val="0"/>
          <w:sz w:val="22"/>
        </w:rPr>
        <w:t>Bei Nachweis einer MSH2-Mutation empfehlen wir ein Screening auf Helicobacter pylori sowie eine Eradikation bei positivem Nachweis, da MSH2-Träger ein erhöhtes Risiko für Magenkarzinome aufweisen.</w:t>
      </w:r>
    </w:p>
    <w:p>
      <w:pPr>
        <w:spacing w:before="80" w:after="80"/>
      </w:pPr>
      <w:r>
        <w:rPr>
          <w:b w:val="0"/>
          <w:i w:val="0"/>
          <w:color w:val="BBBBBB"/>
          <w:sz w:val="18"/>
        </w:rPr>
        <w:t>───────────────────────────────────────────────────────</w:t>
      </w:r>
    </w:p>
    <w:p>
      <w:pPr>
        <w:spacing w:before="80" w:after="80"/>
        <w:jc w:val="center"/>
      </w:pPr>
      <w:r>
        <w:rPr>
          <w:b w:val="0"/>
          <w:i/>
          <w:sz w:val="18"/>
        </w:rPr>
        <w:t>Dr. med. Kristin Koschny · Assistenzärztin Gastroenterologie · GFGB-Jahrestagung 2026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