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C4E54"/>
          <w:sz w:val="32"/>
        </w:rPr>
        <w:t>Sprechernotizen — GFGB-Jahrestagung 2026</w:t>
      </w:r>
    </w:p>
    <w:p>
      <w:pPr>
        <w:jc w:val="center"/>
      </w:pPr>
      <w:r>
        <w:rPr>
          <w:color w:val="01696F"/>
          <w:sz w:val="24"/>
        </w:rPr>
        <w:t>Darmkrebsvorsorge: Was kommt nach der Koloskopie?</w:t>
      </w:r>
    </w:p>
    <w:p/>
    <w:p>
      <w:pPr>
        <w:spacing w:before="280" w:after="40"/>
      </w:pPr>
      <w:r>
        <w:rPr>
          <w:b/>
          <w:color w:val="0C4E54"/>
          <w:sz w:val="26"/>
        </w:rPr>
        <w:t>F1 — Titelfolie</w:t>
      </w:r>
    </w:p>
    <w:p>
      <w:pPr>
        <w:spacing w:after="80"/>
      </w:pPr>
      <w:r>
        <w:rPr>
          <w:color w:val="CCCCCC"/>
          <w:sz w:val="14"/>
        </w:rPr>
        <w:t>────────────────────────────────────────────────────────────────────────────────</w:t>
      </w:r>
    </w:p>
    <w:p>
      <w:pPr>
        <w:spacing w:before="120" w:after="40"/>
      </w:pPr>
      <w:r>
        <w:rPr>
          <w:b/>
          <w:color w:val="01696F"/>
          <w:sz w:val="20"/>
        </w:rPr>
        <w:t>FOLIE 1 — TITELFOLIE</w:t>
      </w:r>
    </w:p>
    <w:p>
      <w:pPr>
        <w:spacing w:before="0" w:after="80"/>
      </w:pPr>
    </w:p>
    <w:p>
      <w:pPr>
        <w:spacing w:before="0" w:after="40"/>
      </w:pPr>
      <w:r>
        <w:rPr>
          <w:sz w:val="20"/>
        </w:rPr>
        <w:t>Guten Morgen. Ich freue mich sehr, heute beim Podium der jungen Gastroenterologen sprechen zu dürfen.</w:t>
      </w:r>
    </w:p>
    <w:p>
      <w:pPr>
        <w:spacing w:before="0" w:after="80"/>
      </w:pPr>
    </w:p>
    <w:p>
      <w:pPr>
        <w:spacing w:before="0" w:after="40"/>
      </w:pPr>
      <w:r>
        <w:rPr>
          <w:sz w:val="20"/>
        </w:rPr>
        <w:t>Mein Name ist Kristin Koschny, ich bin Assistenzärztin in der Gastroenterologie am Klinikum Neumarkt in der Oberpfalz.</w:t>
      </w:r>
    </w:p>
    <w:p>
      <w:pPr>
        <w:spacing w:before="0" w:after="80"/>
      </w:pPr>
    </w:p>
    <w:p>
      <w:pPr>
        <w:spacing w:before="0" w:after="40"/>
      </w:pPr>
      <w:r>
        <w:rPr>
          <w:sz w:val="20"/>
        </w:rPr>
        <w:t>Das Thema meines Vortrags ist Prävention in der Gastroenterologie — abseits von Social Media. Was ist wirklich evidenzbasiert?</w:t>
      </w:r>
    </w:p>
    <w:p>
      <w:pPr>
        <w:spacing w:before="0" w:after="80"/>
      </w:pPr>
    </w:p>
    <w:p>
      <w:pPr>
        <w:spacing w:before="0" w:after="40"/>
      </w:pPr>
      <w:r>
        <w:rPr>
          <w:sz w:val="20"/>
        </w:rPr>
        <w:t>Ich möchte Ihnen heute etwas zeigen, das mich in der täglichen Arbeit beschäftigt: Die Lücke zwischen dem, was wir wissen, und dem, was wir tun. Wir haben als Fach beeindruckende Werkzeuge zur Krebsprävention. Wir haben Koloskopie-Screening, H. pylori-Eradikation, ASS bei Lynch-Syndrom, Hepatitis-Impfung, HCV-Behandlung. Alles Evidenzgrad A, alles funktioniert.</w:t>
      </w:r>
    </w:p>
    <w:p>
      <w:pPr>
        <w:spacing w:before="0" w:after="80"/>
      </w:pPr>
    </w:p>
    <w:p>
      <w:pPr>
        <w:spacing w:before="0" w:after="40"/>
      </w:pPr>
      <w:r>
        <w:rPr>
          <w:sz w:val="20"/>
        </w:rPr>
        <w:t>Und trotzdem steigt Early-Onset Colorectal Cancer — Darmkrebs bei Menschen unter 50 — seit Jahren kontinuierlich an.</w:t>
      </w:r>
    </w:p>
    <w:p>
      <w:pPr>
        <w:spacing w:before="0" w:after="80"/>
      </w:pPr>
    </w:p>
    <w:p>
      <w:pPr>
        <w:spacing w:before="0" w:after="40"/>
      </w:pPr>
      <w:r>
        <w:rPr>
          <w:sz w:val="20"/>
        </w:rPr>
        <w:t>Das ist kein Widerspruch. Das ist eine Diagnose: Unser System ist reaktiv statt proaktiv. Wir erreichen die Menschen nicht, bevor der Krebs entsteht. Social Media füllt dieses Vakuum mit Fehlinformation — von "Berberin ist das neue Ozempic" bis zu "Kurkuma heilt Krebs".</w:t>
      </w:r>
    </w:p>
    <w:p>
      <w:pPr>
        <w:spacing w:before="0" w:after="80"/>
      </w:pPr>
    </w:p>
    <w:p>
      <w:pPr>
        <w:spacing w:before="0" w:after="40"/>
      </w:pPr>
      <w:r>
        <w:rPr>
          <w:sz w:val="20"/>
        </w:rPr>
        <w:t>Meine These heute: Wir müssen die Risikopatienten früher identifizieren, die echten Hebel konsequent umsetzen, und dafür niedrigschwellige Tools nutzen, die unsere Patienten dort abholen, wo sie sind.</w:t>
      </w:r>
    </w:p>
    <w:p>
      <w:pPr>
        <w:spacing w:before="0" w:after="80"/>
      </w:pPr>
    </w:p>
    <w:p>
      <w:pPr>
        <w:spacing w:before="0" w:after="40"/>
      </w:pPr>
      <w:r>
        <w:rPr>
          <w:sz w:val="20"/>
        </w:rPr>
        <w:t>Ich zeige Ihnen in den nächsten Minuten sowohl die Evidenzlage als auch konkrete Werkzeuge, die ich selbst entwickelt habe und die Sie heute noch nutzen können.</w:t>
      </w:r>
    </w:p>
    <w:p>
      <w:pPr>
        <w:spacing w:before="0" w:after="80"/>
      </w:pPr>
    </w:p>
    <w:p>
      <w:pPr>
        <w:spacing w:before="0" w:after="40"/>
      </w:pPr>
      <w:r>
        <w:rPr>
          <w:i/>
          <w:color w:val="5A5A5A"/>
          <w:sz w:val="20"/>
        </w:rPr>
        <w:t>→ Los geht's.</w:t>
      </w:r>
    </w:p>
    <w:p>
      <w:r>
        <w:br w:type="page"/>
      </w:r>
    </w:p>
    <w:p>
      <w:pPr>
        <w:spacing w:before="280" w:after="40"/>
      </w:pPr>
      <w:r>
        <w:rPr>
          <w:b/>
          <w:color w:val="0C4E54"/>
          <w:sz w:val="26"/>
        </w:rPr>
        <w:t>F2 — Was wir wissen: Die bewährten Hebel</w:t>
      </w:r>
    </w:p>
    <w:p>
      <w:pPr>
        <w:spacing w:after="80"/>
      </w:pPr>
      <w:r>
        <w:rPr>
          <w:color w:val="CCCCCC"/>
          <w:sz w:val="14"/>
        </w:rPr>
        <w:t>────────────────────────────────────────────────────────────────────────────────</w:t>
      </w:r>
    </w:p>
    <w:p>
      <w:pPr>
        <w:spacing w:before="120" w:after="40"/>
      </w:pPr>
      <w:r>
        <w:rPr>
          <w:b/>
          <w:color w:val="01696F"/>
          <w:sz w:val="20"/>
        </w:rPr>
        <w:t>FOLIE 2 — WAS WIR WISSEN: DIE BEWÄHRTEN HEBEL</w:t>
      </w:r>
    </w:p>
    <w:p>
      <w:pPr>
        <w:spacing w:before="0" w:after="80"/>
      </w:pPr>
    </w:p>
    <w:p>
      <w:pPr>
        <w:spacing w:before="0" w:after="40"/>
      </w:pPr>
      <w:r>
        <w:rPr>
          <w:sz w:val="20"/>
        </w:rPr>
        <w:t>Diese Tabelle ist mein Ausgangspunkt — und sie ist zugleich eine Provokation.</w:t>
      </w:r>
    </w:p>
    <w:p>
      <w:pPr>
        <w:spacing w:before="0" w:after="80"/>
      </w:pPr>
    </w:p>
    <w:p>
      <w:pPr>
        <w:spacing w:before="0" w:after="40"/>
      </w:pPr>
      <w:r>
        <w:rPr>
          <w:sz w:val="20"/>
        </w:rPr>
        <w:t>Wir haben fünf Maßnahmen mit Evidenzgrad A, die zusammengenommen mehrere tausend Krebstode pro Jahr in Deutschland vermeidbar machen. Lassen Sie mich die Zahlen kurz einordnen:</w:t>
      </w:r>
    </w:p>
    <w:p>
      <w:pPr>
        <w:spacing w:before="0" w:after="80"/>
      </w:pPr>
    </w:p>
    <w:p>
      <w:pPr>
        <w:spacing w:before="0" w:after="40"/>
      </w:pPr>
      <w:r>
        <w:rPr>
          <w:sz w:val="20"/>
        </w:rPr>
        <w:t>KOLOSKOPIE-SCREENING — Hinweis zur Evidenzlage:</w:t>
      </w:r>
    </w:p>
    <w:p>
      <w:pPr>
        <w:spacing w:before="0" w:after="40"/>
      </w:pPr>
      <w:r>
        <w:rPr>
          <w:sz w:val="20"/>
        </w:rPr>
        <w:t>Die "–60–70% KRK-Mortalität" stammen aus Beobachtungsstudien, also aus Registerdaten und Kohortenanalysen. Diese zeigen, was passiert, wenn Menschen tatsächlich zur Koloskopie gehen — und das Ergebnis ist eindrucksvoll.</w:t>
      </w:r>
    </w:p>
    <w:p>
      <w:pPr>
        <w:spacing w:before="0" w:after="40"/>
      </w:pPr>
      <w:r>
        <w:rPr>
          <w:sz w:val="20"/>
        </w:rPr>
        <w:t>Der NordICC-RCT aus dem NEJM 2022 (n=84.585, randomisiert in Norwegen, Polen, Schweden) hat das ergänzt: In der Intention-to-treat-Analyse — also alle eingeladenen Patienten, egal ob sie kamen oder nicht — nur –18% Inzidenzreduktion, weil nur 42% der Eingeladenen tatsächlich kamen. Wer wirklich zur Koloskopie ging (per-protocol), hatte –31% Inzidenz und –50% Mortalität. Das ist weiterhin beeindruckend. Die Diskussion sollte also nicht sein "funktioniert Koloskopie nicht", sondern "wie erhöhen wir die Teilnahme".</w:t>
      </w:r>
    </w:p>
    <w:p>
      <w:pPr>
        <w:spacing w:before="0" w:after="40"/>
      </w:pPr>
      <w:r>
        <w:rPr>
          <w:sz w:val="20"/>
        </w:rPr>
        <w:t>Falls jemand nachfragt: "Haben Sie das NordICC-Paper gelesen? Die zeigen doch nur –18%." → Antwort: "Ja, das ist der ITT-Effekt — also verdünnt durch die niedrige Teilnahme von 42%. Bei tatsächlicher Koloskopie zeigt NordICC –50% Mortalität per-protocol. Die Beobachtungsstudien mit 60–70% spiegeln ein Population wider, die tatsächlich screening-aktiv ist."</w:t>
      </w:r>
    </w:p>
    <w:p>
      <w:pPr>
        <w:spacing w:before="0" w:after="80"/>
      </w:pPr>
    </w:p>
    <w:p>
      <w:pPr>
        <w:spacing w:before="0" w:after="40"/>
      </w:pPr>
      <w:r>
        <w:rPr>
          <w:sz w:val="20"/>
        </w:rPr>
        <w:t>H. PYLORI — –36% Magenkarzinom:</w:t>
      </w:r>
    </w:p>
    <w:p>
      <w:pPr>
        <w:spacing w:before="0" w:after="40"/>
      </w:pPr>
      <w:r>
        <w:rPr>
          <w:sz w:val="20"/>
        </w:rPr>
        <w:t>Die IARC Working Group — das ist die Internationale Agentur für Krebsforschung der WHO — hat im März 2026 im New England Journal of Medicine eine gepoolte Analyse aus mehreren randomisierten Studien publiziert. Ergebnis: Konsequente H. pylori-Eradikation senkt die Magenkarzinom-Inzidenz um 36%. Das ist einer der stärksten präventiven Effekte, die wir in der Gastroenterologie haben.</w:t>
      </w:r>
    </w:p>
    <w:p>
      <w:pPr>
        <w:spacing w:before="0" w:after="80"/>
      </w:pPr>
    </w:p>
    <w:p>
      <w:pPr>
        <w:spacing w:before="0" w:after="40"/>
      </w:pPr>
      <w:r>
        <w:rPr>
          <w:sz w:val="20"/>
        </w:rPr>
        <w:t>ASS BEI LYNCH — –50% KRK per-protocol:</w:t>
      </w:r>
    </w:p>
    <w:p>
      <w:pPr>
        <w:spacing w:before="0" w:after="40"/>
      </w:pPr>
      <w:r>
        <w:rPr>
          <w:sz w:val="20"/>
        </w:rPr>
        <w:t>CaPP2 (Lancet 2020, n=861, 10-Jahres-Follow-up): Incidence rate ratio 0,50 per-protocol. Das bedeutet: Halbierung der Ereignisrate. CaPP3 (Konferenzpräsentation CAPP-Konsortium, Juni 2025, n=1.879): Nicht-Unterlegenheit von 75–100mg gegenüber 600mg. Noch nicht peer-reviewed publiziert — aber von einem international etablierten, registrierten Trial.</w:t>
      </w:r>
    </w:p>
    <w:p>
      <w:pPr>
        <w:spacing w:before="0" w:after="80"/>
      </w:pPr>
    </w:p>
    <w:p>
      <w:pPr>
        <w:spacing w:before="0" w:after="40"/>
      </w:pPr>
      <w:r>
        <w:rPr>
          <w:sz w:val="20"/>
        </w:rPr>
        <w:t>HEPATITIS B — bis zu –75% HCC-Prävention:</w:t>
      </w:r>
    </w:p>
    <w:p>
      <w:pPr>
        <w:spacing w:before="0" w:after="40"/>
      </w:pPr>
      <w:r>
        <w:rPr>
          <w:sz w:val="20"/>
        </w:rPr>
        <w:t>Diese Zahl kommt aus frühen Modellierungsstudien und Registerdaten aus Taiwan, wo die universelle HBV-Impfung 1984 eingeführt wurde. Seither ist HCC bei Kindern und Jugendlichen dort nahezu verschwunden. Die exakte Zahl variiert je nach Studie zwischen 64% und 91% — "bis zu –75%" ist eine vertretbare Mitte. Vor einem fachkundigen Publikum besser sagen: "bis zu –75% in Beobachtungs- und Modellierungsstudien."</w:t>
      </w:r>
    </w:p>
    <w:p>
      <w:pPr>
        <w:spacing w:before="0" w:after="80"/>
      </w:pPr>
    </w:p>
    <w:p>
      <w:pPr>
        <w:spacing w:before="0" w:after="40"/>
      </w:pPr>
      <w:r>
        <w:rPr>
          <w:sz w:val="20"/>
        </w:rPr>
        <w:t>HCV-BEHANDLUNG — ~–70–75% HCC-Risiko:</w:t>
      </w:r>
    </w:p>
    <w:p>
      <w:pPr>
        <w:spacing w:before="0" w:after="40"/>
      </w:pPr>
      <w:r>
        <w:rPr>
          <w:sz w:val="20"/>
        </w:rPr>
        <w:t>Mehrere Metaanalysen zeigen ca. 70% HCC-Risikoreduktion bei SVR (sustained virologic response). Die EASL-Leitlinie 2020 spricht von –75% — das ist eine gerundete, leitlinienbasierte Angabe.</w:t>
      </w:r>
    </w:p>
    <w:p>
      <w:pPr>
        <w:spacing w:before="0" w:after="80"/>
      </w:pPr>
    </w:p>
    <w:p>
      <w:pPr>
        <w:spacing w:before="120" w:after="40"/>
      </w:pPr>
      <w:r>
        <w:rPr>
          <w:b/>
          <w:color w:val="01696F"/>
          <w:sz w:val="20"/>
        </w:rPr>
        <w:t>DIE POINTE DIESER FOLIE:</w:t>
      </w:r>
    </w:p>
    <w:p>
      <w:pPr>
        <w:spacing w:before="0" w:after="40"/>
      </w:pPr>
      <w:r>
        <w:rPr>
          <w:sz w:val="20"/>
        </w:rPr>
        <w:t>Die Evidenz ist eindrucksvoll. Wir könnten mit diesen fünf Maßnahmen allein schon sehr viel mehr erreichen als wir heute tun. Aber: Warum steigt trotzdem Early-Onset CRC? Weil diese Maßnahmen voraussetzen, dass wir die Risikopatienten überhaupt kennen. Und das ist das Problem.</w:t>
      </w:r>
    </w:p>
    <w:p>
      <w:pPr>
        <w:spacing w:before="0" w:after="80"/>
      </w:pPr>
    </w:p>
    <w:p>
      <w:pPr>
        <w:spacing w:before="0" w:after="40"/>
      </w:pPr>
      <w:r>
        <w:rPr>
          <w:i/>
          <w:color w:val="5A5A5A"/>
          <w:sz w:val="20"/>
        </w:rPr>
        <w:t>→ Überleitung: Schauen wir uns an, was das konkret bedeutet — die Kurve, die uns beunruhigen sollte.</w:t>
      </w:r>
    </w:p>
    <w:p>
      <w:r>
        <w:br w:type="page"/>
      </w:r>
    </w:p>
    <w:p>
      <w:pPr>
        <w:spacing w:before="280" w:after="40"/>
      </w:pPr>
      <w:r>
        <w:rPr>
          <w:b/>
          <w:color w:val="0C4E54"/>
          <w:sz w:val="26"/>
        </w:rPr>
        <w:t>F3 — Early-Onset CRC: Die Kurve</w:t>
      </w:r>
    </w:p>
    <w:p>
      <w:pPr>
        <w:spacing w:after="80"/>
      </w:pPr>
      <w:r>
        <w:rPr>
          <w:color w:val="CCCCCC"/>
          <w:sz w:val="14"/>
        </w:rPr>
        <w:t>────────────────────────────────────────────────────────────────────────────────</w:t>
      </w:r>
    </w:p>
    <w:p>
      <w:pPr>
        <w:spacing w:before="120" w:after="40"/>
      </w:pPr>
      <w:r>
        <w:rPr>
          <w:b/>
          <w:color w:val="01696F"/>
          <w:sz w:val="20"/>
        </w:rPr>
        <w:t>FOLIE 3 — EARLY-ONSET CRC: DIE KURVE</w:t>
      </w:r>
    </w:p>
    <w:p>
      <w:pPr>
        <w:spacing w:before="0" w:after="80"/>
      </w:pPr>
    </w:p>
    <w:p>
      <w:pPr>
        <w:spacing w:before="0" w:after="40"/>
      </w:pPr>
      <w:r>
        <w:rPr>
          <w:sz w:val="20"/>
        </w:rPr>
        <w:t>Diese Kurve zeigt die altersstandardisierte Inzidenz des kolorektalen Karzinoms in der Altersgruppe unter 50 Jahren — und sie zeigt etwas, das wir als Fach noch nicht ausreichend verinnerlicht haben.</w:t>
      </w:r>
    </w:p>
    <w:p>
      <w:pPr>
        <w:spacing w:before="0" w:after="80"/>
      </w:pPr>
    </w:p>
    <w:p>
      <w:pPr>
        <w:spacing w:before="0" w:after="40"/>
      </w:pPr>
      <w:r>
        <w:rPr>
          <w:sz w:val="20"/>
        </w:rPr>
        <w:t>Während die Inzidenz bei Älteren stagniert oder sinkt — dank Screening, verbesserter Therapie und erhöhtem Bewusstsein — steigt sie bei den unter 50-Jährigen kontinuierlich an. In Deutschland +20% kumulativ seit etwa 2000. In den USA +73% seit 1999.</w:t>
      </w:r>
    </w:p>
    <w:p>
      <w:pPr>
        <w:spacing w:before="0" w:after="80"/>
      </w:pPr>
    </w:p>
    <w:p>
      <w:pPr>
        <w:spacing w:before="120" w:after="40"/>
      </w:pPr>
      <w:r>
        <w:rPr>
          <w:b/>
          <w:color w:val="01696F"/>
          <w:sz w:val="20"/>
        </w:rPr>
        <w:t>ZUR ZAHL "+20% DEUTSCHLAND":</w:t>
      </w:r>
    </w:p>
    <w:p>
      <w:pPr>
        <w:spacing w:before="0" w:after="40"/>
      </w:pPr>
      <w:r>
        <w:rPr>
          <w:sz w:val="20"/>
        </w:rPr>
        <w:t>Das ist kein einzelner Jahressprung, sondern eine kumulierte Veränderung über ~20 Jahre. Schönberg et al. (Dtsch Ärztebl Int 2023, Daten aus dem Zentrum für Krebsregisterdaten/RKI) berechnen eine mittlere jährliche Änderungsrate von +1,2%/Jahr — statistisch ausgedrückt als AAPC (Average Annual Percent Change). Das ist eine modellierte Trendrate, kein direkter Jahresvergleich. Über 20 Jahre × 1,2%/Jahr ergibt kumulativ ~+20% — eine vertretbare Vereinfachung für die visuelle Darstellung.</w:t>
      </w:r>
    </w:p>
    <w:p>
      <w:pPr>
        <w:spacing w:before="0" w:after="80"/>
      </w:pPr>
    </w:p>
    <w:p>
      <w:pPr>
        <w:spacing w:before="0" w:after="40"/>
      </w:pPr>
      <w:r>
        <w:rPr>
          <w:sz w:val="20"/>
        </w:rPr>
        <w:t>Zur USA: +73% seit 1999 (NCI SEER-Daten). Der Unterschied zu Deutschland liegt u.a. an höheren Ausgangsraten in den USA, anderen Ernährungsmustern und der Tatsache, dass das US-Screening erst 2021 auf 45 Jahre abgesenkt wurde — also lange gar nichts für unter 50-Jährige getan hat.</w:t>
      </w:r>
    </w:p>
    <w:p>
      <w:pPr>
        <w:spacing w:before="0" w:after="80"/>
      </w:pPr>
    </w:p>
    <w:p>
      <w:pPr>
        <w:spacing w:before="120" w:after="40"/>
      </w:pPr>
      <w:r>
        <w:rPr>
          <w:b/>
          <w:color w:val="01696F"/>
          <w:sz w:val="20"/>
        </w:rPr>
        <w:t>WAS IST DAS PARADOX?</w:t>
      </w:r>
    </w:p>
    <w:p>
      <w:pPr>
        <w:spacing w:before="0" w:after="40"/>
      </w:pPr>
      <w:r>
        <w:rPr>
          <w:sz w:val="20"/>
        </w:rPr>
        <w:t>Diese Kurve steigt trotz eines der besten Koloskopie-Screening-Programme der Welt. Das ist kein Versagen des Screenings — das Screening funktioniert für über 50-Jährige sehr gut. Das Paradox ist: Das Screening erreicht die unter 50-Jährigen strukturell nicht. Sie haben keinen Anspruch, keinen Recall, keine Einladung. Sie kommen nur, wenn Symptome sie dazu zwingen — oft zu spät.</w:t>
      </w:r>
    </w:p>
    <w:p>
      <w:pPr>
        <w:spacing w:before="0" w:after="80"/>
      </w:pPr>
    </w:p>
    <w:p>
      <w:pPr>
        <w:spacing w:before="0" w:after="40"/>
      </w:pPr>
      <w:r>
        <w:rPr>
          <w:sz w:val="20"/>
        </w:rPr>
        <w:t>ZUSÄTZLICHER PUNKT — TOPOGRAPHISCHER SHIFT (für Nachfragen aus dem Publikum):</w:t>
      </w:r>
    </w:p>
    <w:p>
      <w:pPr>
        <w:spacing w:before="0" w:after="40"/>
      </w:pPr>
      <w:r>
        <w:rPr>
          <w:sz w:val="20"/>
        </w:rPr>
        <w:t>Es gibt eine neuere Analyse, die zeigt, dass dieser Anstieg nicht gleichmäßig über alle Kolonabschnitte verteilt ist: In einer US-Studie mit 474.601 EO-CRC-Patienten (USCS-Daten 2001–2021) war der Anstieg bei 20–44-Jährigen im proximalen Kolon am stärksten — AAPC-Differenz zur 45–54-Jahres-Gruppe: +0,88 (p&lt;0,001). Spätstadium-Tumoren proximal: AAPC +2,44 (Sung et al., Cancers 2025). Das hat klinische Konsequenzen: FIT erkennt proximale Tumoren schlechter (Blutspuren werden auf dem langen Weg abgebaut), und proximale Tumoren sind oft symptomlos bis zum Spätstadium. Selbst wenn wir jungen Erwachsenen FIT anbieten würden, würden wir den am stärksten wachsenden Anteil systematisch untererkennen.</w:t>
      </w:r>
    </w:p>
    <w:p>
      <w:pPr>
        <w:spacing w:before="0" w:after="80"/>
      </w:pPr>
    </w:p>
    <w:p>
      <w:pPr>
        <w:spacing w:before="0" w:after="40"/>
      </w:pPr>
      <w:r>
        <w:rPr>
          <w:i/>
          <w:color w:val="5A5A5A"/>
          <w:sz w:val="20"/>
        </w:rPr>
        <w:t>→ Überleitung: Wie groß ist das Problem konkret? Drei Zahlen.</w:t>
      </w:r>
    </w:p>
    <w:p>
      <w:r>
        <w:br w:type="page"/>
      </w:r>
    </w:p>
    <w:p>
      <w:pPr>
        <w:spacing w:before="280" w:after="40"/>
      </w:pPr>
      <w:r>
        <w:rPr>
          <w:b/>
          <w:color w:val="0C4E54"/>
          <w:sz w:val="26"/>
        </w:rPr>
        <w:t>F4 — 5,1 % — Warum eine kleine Zahl trotzdem entscheidend ist</w:t>
      </w:r>
    </w:p>
    <w:p>
      <w:pPr>
        <w:spacing w:after="80"/>
      </w:pPr>
      <w:r>
        <w:rPr>
          <w:color w:val="CCCCCC"/>
          <w:sz w:val="14"/>
        </w:rPr>
        <w:t>────────────────────────────────────────────────────────────────────────────────</w:t>
      </w:r>
    </w:p>
    <w:p>
      <w:pPr>
        <w:spacing w:before="120" w:after="40"/>
      </w:pPr>
      <w:r>
        <w:rPr>
          <w:b/>
          <w:color w:val="01696F"/>
          <w:sz w:val="20"/>
        </w:rPr>
        <w:t>FOLIE 4 — 5,1%: WARUM EINE "KLEINE" ZAHL TROTZDEM ENTSCHEIDEND IST</w:t>
      </w:r>
    </w:p>
    <w:p>
      <w:pPr>
        <w:spacing w:before="0" w:after="80"/>
      </w:pPr>
    </w:p>
    <w:p>
      <w:pPr>
        <w:spacing w:before="0" w:after="40"/>
      </w:pPr>
      <w:r>
        <w:rPr>
          <w:sz w:val="20"/>
        </w:rPr>
        <w:t>Diese Folie ist einer der zentralen Argumentationspunkte meines Vortrags. Ich möchte erklären, warum 5,1% kein Randphänomen sind.</w:t>
      </w:r>
    </w:p>
    <w:p>
      <w:pPr>
        <w:spacing w:before="0" w:after="80"/>
      </w:pPr>
    </w:p>
    <w:p>
      <w:pPr>
        <w:spacing w:before="120" w:after="40"/>
      </w:pPr>
      <w:r>
        <w:rPr>
          <w:b/>
          <w:color w:val="01696F"/>
          <w:sz w:val="20"/>
        </w:rPr>
        <w:t>DIE DREI ZAHLEN — MIT QUELLEN:</w:t>
      </w:r>
    </w:p>
    <w:p>
      <w:pPr>
        <w:spacing w:before="0" w:after="80"/>
      </w:pPr>
    </w:p>
    <w:p>
      <w:pPr>
        <w:spacing w:before="0" w:after="40"/>
      </w:pPr>
      <w:r>
        <w:rPr>
          <w:sz w:val="20"/>
        </w:rPr>
        <w:t>5,1% aller KRK-Diagnosen in Deutschland betreffen Menschen unter 50 Jahren.</w:t>
      </w:r>
    </w:p>
    <w:p>
      <w:pPr>
        <w:spacing w:before="0" w:after="40"/>
      </w:pPr>
      <w:r>
        <w:rPr>
          <w:sz w:val="20"/>
        </w:rPr>
        <w:t>Quelle: Schönberg et al. Dtsch Ärztebl Int 2023, Daten RKI/Zentrum für Krebsregisterdaten.</w:t>
      </w:r>
    </w:p>
    <w:p>
      <w:pPr>
        <w:spacing w:before="0" w:after="40"/>
      </w:pPr>
      <w:r>
        <w:rPr>
          <w:sz w:val="20"/>
        </w:rPr>
        <w:t>Absolut bedeutet das: Ca. 3.000–4.000 neue KRK-Fälle pro Jahr in Deutschland bei unter 50-Jährigen. Das sind reale Patientinnen und Patienten, die wir heute mit einem reaktiven System nicht erreichen.</w:t>
      </w:r>
    </w:p>
    <w:p>
      <w:pPr>
        <w:spacing w:before="0" w:after="80"/>
      </w:pPr>
    </w:p>
    <w:p>
      <w:pPr>
        <w:spacing w:before="0" w:after="40"/>
      </w:pPr>
      <w:r>
        <w:rPr>
          <w:sz w:val="20"/>
        </w:rPr>
        <w:t>+1,2%/Jahr (AAPC seit ca. 1999/2000):</w:t>
      </w:r>
    </w:p>
    <w:p>
      <w:pPr>
        <w:spacing w:before="0" w:after="40"/>
      </w:pPr>
      <w:r>
        <w:rPr>
          <w:sz w:val="20"/>
        </w:rPr>
        <w:t>Das ist eine mittlere jährliche Wachstumsrate — statistisch modelliert, kein einzelner Jahresdatenpunkt. Was das bedeutet: Bei gleichbleibendem Trend werden es in 15 Jahren ca. 6–7% sein. Jede neue Alterskohorte wird früher getroffen als die vorherige.</w:t>
      </w:r>
    </w:p>
    <w:p>
      <w:pPr>
        <w:spacing w:before="0" w:after="80"/>
      </w:pPr>
    </w:p>
    <w:p>
      <w:pPr>
        <w:spacing w:before="0" w:after="40"/>
      </w:pPr>
      <w:r>
        <w:rPr>
          <w:sz w:val="20"/>
        </w:rPr>
        <w:t>27 von 50 Ländern mit steigendem EO-CRC:</w:t>
      </w:r>
    </w:p>
    <w:p>
      <w:pPr>
        <w:spacing w:before="0" w:after="40"/>
      </w:pPr>
      <w:r>
        <w:rPr>
          <w:sz w:val="20"/>
        </w:rPr>
        <w:t>Das zeigt, dass dies kein deutsches Problem ist, sondern ein globales Signal — unabhängig vom Screening-System. Das bedeutet: Screening allein ist nicht die Antwort. Es müssen modifizierbare Risikofaktoren im Spiel sein.</w:t>
      </w:r>
    </w:p>
    <w:p>
      <w:pPr>
        <w:spacing w:before="0" w:after="80"/>
      </w:pPr>
    </w:p>
    <w:p>
      <w:pPr>
        <w:spacing w:before="120" w:after="40"/>
      </w:pPr>
      <w:r>
        <w:rPr>
          <w:b/>
          <w:color w:val="01696F"/>
          <w:sz w:val="20"/>
        </w:rPr>
        <w:t>WARUM IST 5,1% KLINISCH RELEVANT, OBWOHL ES "WENIG" KLINGT?</w:t>
      </w:r>
    </w:p>
    <w:p>
      <w:pPr>
        <w:spacing w:before="0" w:after="80"/>
      </w:pPr>
    </w:p>
    <w:p>
      <w:pPr>
        <w:spacing w:before="0" w:after="40"/>
      </w:pPr>
      <w:r>
        <w:rPr>
          <w:sz w:val="20"/>
        </w:rPr>
        <w:t>Argument 1 — Trend schlägt Absolutzahl:</w:t>
      </w:r>
    </w:p>
    <w:p>
      <w:pPr>
        <w:spacing w:before="0" w:after="40"/>
      </w:pPr>
      <w:r>
        <w:rPr>
          <w:sz w:val="20"/>
        </w:rPr>
        <w:t>In der Epidemiologie ist ein steigender Trend in einer jungen Bevölkerungsgruppe ein Alarmsignal, auch wenn die Absolutzahl noch niedrig ist. Denn: Es dauert Jahre bis Jahrzehnte, bis ein Trend in einer Bevölkerung sichtbar wird. Wenn wir ihn jetzt sehen, ist das Momentum bereits da.</w:t>
      </w:r>
    </w:p>
    <w:p>
      <w:pPr>
        <w:spacing w:before="0" w:after="80"/>
      </w:pPr>
    </w:p>
    <w:p>
      <w:pPr>
        <w:spacing w:before="0" w:after="40"/>
      </w:pPr>
      <w:r>
        <w:rPr>
          <w:sz w:val="20"/>
        </w:rPr>
        <w:t>Argument 2 — Das System versagt strukturell:</w:t>
      </w:r>
    </w:p>
    <w:p>
      <w:pPr>
        <w:spacing w:before="0" w:after="40"/>
      </w:pPr>
      <w:r>
        <w:rPr>
          <w:sz w:val="20"/>
        </w:rPr>
        <w:t>Ein 42-Jähriger mit Darmkrebs hat kein Screening bekommen, keinen Risikocheck, keine Einladung. Er kommt mit Symptomen in die Notaufnahme oder zur Koloskopie wegen Anämie — oft UICC-Stadium III oder IV. Das ist ein Systemversagen, keine individuelle Tragödie.</w:t>
      </w:r>
    </w:p>
    <w:p>
      <w:pPr>
        <w:spacing w:before="0" w:after="80"/>
      </w:pPr>
    </w:p>
    <w:p>
      <w:pPr>
        <w:spacing w:before="0" w:after="40"/>
      </w:pPr>
      <w:r>
        <w:rPr>
          <w:sz w:val="20"/>
        </w:rPr>
        <w:t>Argument 3 — Andere Biologie, schlechtere Prognose UND topographischer Shift:</w:t>
      </w:r>
    </w:p>
    <w:p>
      <w:pPr>
        <w:spacing w:before="0" w:after="40"/>
      </w:pPr>
      <w:r>
        <w:rPr>
          <w:sz w:val="20"/>
        </w:rPr>
        <w:t>EO-CRC hat eine andere molekulare Biologie: höherer Anteil MSI-H, POLE-Mutationen, häufiger linksseitig lokalisiert. Gleichzeitig häufiger fortgeschrittenes Stadium bei Erstdiagnose.</w:t>
      </w:r>
    </w:p>
    <w:p>
      <w:pPr>
        <w:spacing w:before="0" w:after="40"/>
      </w:pPr>
      <w:r>
        <w:rPr>
          <w:b/>
          <w:color w:val="DA7101"/>
          <w:sz w:val="20"/>
        </w:rPr>
        <w:t>KRITISCHER PUNKT — TOPOGRAPHISCHER SHIFT: Die Gesamtprävalenz von EO-CRC ist linksseitig/rektal dominiert (Rektum ~37%, distal ~26%, proximal ~23% — Vuik et al., Nature Rev Clin Oncol 2019). ABER: Der zeitliche Trend-Anstieg ist im proximalen Kolon am stärksten (AAPC-Differenz 20–44 vs. 45–54J: +0,88; Spätstadien proximal AAPC +2,44 — Sung et al., Cancers 2025). Das ist kein Widerspruch — Prävalenz und Trend sind zwei verschiedene Dimensionen. FIT erkennt proximale Tumoren schlechter (lange Transitstrecke baut Blutspuren ab), und proximale Tumoren verursachen seltener Warnsymptome. Wer einwendet, EO-CRC steige "doch nur linksseitig" — das ist halb richtig und halb falsch: Prävalenz ja, Trend nein.</w:t>
      </w:r>
    </w:p>
    <w:p>
      <w:pPr>
        <w:spacing w:before="0" w:after="80"/>
      </w:pPr>
    </w:p>
    <w:p>
      <w:pPr>
        <w:spacing w:before="0" w:after="40"/>
      </w:pPr>
      <w:r>
        <w:rPr>
          <w:sz w:val="20"/>
        </w:rPr>
        <w:t>Argument 4 — Interventionsfenster:</w:t>
      </w:r>
    </w:p>
    <w:p>
      <w:pPr>
        <w:spacing w:before="0" w:after="40"/>
      </w:pPr>
      <w:r>
        <w:rPr>
          <w:sz w:val="20"/>
        </w:rPr>
        <w:t>Die Prävention von EO-CRC — durch Risikostratifizierung, UPF-Reduktion, MASLD-Erkennung, Lynch-Identifikation — muss bei unter 40-Jährigen beginnen, nicht bei unter 50-Jährigen. Das ist ein Argument für frühe Intervention, nicht für Abwarten.</w:t>
      </w:r>
    </w:p>
    <w:p>
      <w:pPr>
        <w:spacing w:before="0" w:after="80"/>
      </w:pPr>
    </w:p>
    <w:p>
      <w:pPr>
        <w:spacing w:before="0" w:after="40"/>
      </w:pPr>
      <w:r>
        <w:rPr>
          <w:sz w:val="20"/>
        </w:rPr>
        <w:t>WAS SAGE ICH, WENN JEMAND FRAGT: "5% sind doch kein öffentliches Gesundheitsproblem"?</w:t>
      </w:r>
    </w:p>
    <w:p>
      <w:pPr>
        <w:spacing w:before="0" w:after="40"/>
      </w:pPr>
      <w:r>
        <w:rPr>
          <w:sz w:val="20"/>
        </w:rPr>
        <w:t>"Ich teile die Einschätzung, dass die Absolutzahl noch niedrig ist. Mein Argument ist nicht die Absolutzahl — mein Argument ist der Trend und das strukturelle Versagen. +1,2% pro Jahr bedeutet: Wir sehen dieses Problem in 10 Jahren sehr viel deutlicher. Und wir haben heute schon Werkzeuge, die wir nicht nutzen. Das ist der Punkt."</w:t>
      </w:r>
    </w:p>
    <w:p>
      <w:pPr>
        <w:spacing w:before="0" w:after="80"/>
      </w:pPr>
    </w:p>
    <w:p>
      <w:pPr>
        <w:spacing w:before="0" w:after="40"/>
      </w:pPr>
      <w:r>
        <w:rPr>
          <w:b/>
          <w:color w:val="DA7101"/>
          <w:sz w:val="20"/>
        </w:rPr>
        <w:t>WENN JEMAND EINWENDET: "Steigt EO-CRC nicht vor allem links/rektal?"</w:t>
      </w:r>
    </w:p>
    <w:p>
      <w:pPr>
        <w:spacing w:before="0" w:after="40"/>
      </w:pPr>
      <w:r>
        <w:rPr>
          <w:sz w:val="20"/>
        </w:rPr>
        <w:t>"Das stimmt für die Gesamtprävalenz — und das ist richtig. Aber der stärkste zeitliche Anstieg ist proximal, und gerade dort haben wir das größte diagnostische Problem: FIT schlägt dort schlechter an, Symptome fehlen länger. Prävalenz und Trend sind zwei verschiedene Fragen. Beides kann gleichzeitig wahr sein."</w:t>
      </w:r>
    </w:p>
    <w:p>
      <w:pPr>
        <w:spacing w:before="0" w:after="80"/>
      </w:pPr>
    </w:p>
    <w:p>
      <w:pPr>
        <w:spacing w:before="0" w:after="40"/>
      </w:pPr>
      <w:r>
        <w:rPr>
          <w:i/>
          <w:color w:val="5A5A5A"/>
          <w:sz w:val="20"/>
        </w:rPr>
        <w:t>→ Überleitung: Das Screening selbst ist strukturell reaktiv — das zeige ich auf der nächsten Folie.</w:t>
      </w:r>
    </w:p>
    <w:p>
      <w:r>
        <w:br w:type="page"/>
      </w:r>
    </w:p>
    <w:p>
      <w:pPr>
        <w:spacing w:before="280" w:after="40"/>
      </w:pPr>
      <w:r>
        <w:rPr>
          <w:b/>
          <w:color w:val="0C4E54"/>
          <w:sz w:val="26"/>
        </w:rPr>
        <w:t>F5 — Koloskopie-Screening: Reaktiv statt proaktiv</w:t>
      </w:r>
    </w:p>
    <w:p>
      <w:pPr>
        <w:spacing w:after="80"/>
      </w:pPr>
      <w:r>
        <w:rPr>
          <w:color w:val="CCCCCC"/>
          <w:sz w:val="14"/>
        </w:rPr>
        <w:t>────────────────────────────────────────────────────────────────────────────────</w:t>
      </w:r>
    </w:p>
    <w:p>
      <w:pPr>
        <w:spacing w:before="120" w:after="40"/>
      </w:pPr>
      <w:r>
        <w:rPr>
          <w:b/>
          <w:color w:val="01696F"/>
          <w:sz w:val="20"/>
        </w:rPr>
        <w:t>FOLIE 5 — KOLOSKOPIE-SCREENING: REAKTIV STATT PROAKTIV</w:t>
      </w:r>
    </w:p>
    <w:p>
      <w:pPr>
        <w:spacing w:before="0" w:after="80"/>
      </w:pPr>
    </w:p>
    <w:p>
      <w:pPr>
        <w:spacing w:before="0" w:after="40"/>
      </w:pPr>
      <w:r>
        <w:rPr>
          <w:sz w:val="20"/>
        </w:rPr>
        <w:t>Diese Folie benennt das strukturelle Problem direkt.</w:t>
      </w:r>
    </w:p>
    <w:p>
      <w:pPr>
        <w:spacing w:before="0" w:after="80"/>
      </w:pPr>
    </w:p>
    <w:p>
      <w:pPr>
        <w:spacing w:before="120" w:after="40"/>
      </w:pPr>
      <w:r>
        <w:rPr>
          <w:b/>
          <w:color w:val="01696F"/>
          <w:sz w:val="20"/>
        </w:rPr>
        <w:t>DAS GRUNDPROBLEM:</w:t>
      </w:r>
    </w:p>
    <w:p>
      <w:pPr>
        <w:spacing w:before="0" w:after="40"/>
      </w:pPr>
      <w:r>
        <w:rPr>
          <w:sz w:val="20"/>
        </w:rPr>
        <w:t>Unser Screening beginnt bei 50 Jahren. EO-CRC trifft die unter 50-Jährigen. Das System hat diese Patienten schlicht nicht im Blick — nicht weil niemand daran gedacht hat, sondern weil die Kapazitätsfrage nicht gelöst ist.</w:t>
      </w:r>
    </w:p>
    <w:p>
      <w:pPr>
        <w:spacing w:before="0" w:after="80"/>
      </w:pPr>
    </w:p>
    <w:p>
      <w:pPr>
        <w:spacing w:before="120" w:after="40"/>
      </w:pPr>
      <w:r>
        <w:rPr>
          <w:b/>
          <w:color w:val="01696F"/>
          <w:sz w:val="20"/>
        </w:rPr>
        <w:t>ZUR TEILNAHME — AKTUELLE DATEN:</w:t>
      </w:r>
    </w:p>
    <w:p>
      <w:pPr>
        <w:spacing w:before="0" w:after="40"/>
      </w:pPr>
      <w:r>
        <w:rPr>
          <w:sz w:val="20"/>
        </w:rPr>
        <w:t>Die Teilnahmequote liegt laut AOK WIdO-Bericht 2024 bei ca. 30–50% der Berechtigten, regional sehr unterschiedlich. Absolut: 638.000 Vorsorgekoloskopien in Deutschland im Jahr 2024 — das ist ein Rekordwert, aber immer noch weit unter dem Potenzial. Katalinic et al. 2024 zeigen: Die Teilnahme ist gestiegen, aber noch nicht ausreichend, um den maximalen Schutzeffekt zu erzielen.</w:t>
      </w:r>
    </w:p>
    <w:p>
      <w:pPr>
        <w:spacing w:before="0" w:after="80"/>
      </w:pPr>
    </w:p>
    <w:p>
      <w:pPr>
        <w:spacing w:before="120" w:after="40"/>
      </w:pPr>
      <w:r>
        <w:rPr>
          <w:b/>
          <w:color w:val="01696F"/>
          <w:sz w:val="20"/>
        </w:rPr>
        <w:t>IQWIG FEBRUAR 2026 — WARUM NICHT EINFACH AB 45:</w:t>
      </w:r>
    </w:p>
    <w:p>
      <w:pPr>
        <w:spacing w:before="0" w:after="40"/>
      </w:pPr>
      <w:r>
        <w:rPr>
          <w:sz w:val="20"/>
        </w:rPr>
        <w:t>Das IQWiG hat im Februar 2026 bewertet: Es gibt keine direkte randomisierte Evidenz für den Nutzen einer Koloskopie unter 50 Jahren. Die USA haben 2021 das Screening-Alter auf 45 gesenkt, Deutschland hat diese Debatte noch nicht abgeschlossen.</w:t>
      </w:r>
    </w:p>
    <w:p>
      <w:pPr>
        <w:spacing w:before="0" w:after="40"/>
      </w:pPr>
      <w:r>
        <w:rPr>
          <w:sz w:val="20"/>
        </w:rPr>
        <w:t>Wichtiger Punkt: Eine Absenkung auf 45 würde ca. 1,3 Millionen zusätzliche Koloskopien pro Jahr bedeuten — das ist kapazitätsmäßig und kostenmäßig nicht realisierbar (Katalinic et al. 2024). Wir haben nicht die Endoskopie-Kapazität.</w:t>
      </w:r>
    </w:p>
    <w:p>
      <w:pPr>
        <w:spacing w:before="0" w:after="80"/>
      </w:pPr>
    </w:p>
    <w:p>
      <w:pPr>
        <w:spacing w:before="120" w:after="40"/>
      </w:pPr>
      <w:r>
        <w:rPr>
          <w:b/>
          <w:color w:val="01696F"/>
          <w:sz w:val="20"/>
        </w:rPr>
        <w:t>DIE KONSEQUENZ:</w:t>
      </w:r>
    </w:p>
    <w:p>
      <w:pPr>
        <w:spacing w:before="0" w:after="40"/>
      </w:pPr>
      <w:r>
        <w:rPr>
          <w:sz w:val="20"/>
        </w:rPr>
        <w:t>Die Antwort ist nicht "mehr Koloskopien bei allen". Die Antwort ist: die richtigen Patienten früher identifizieren. Risikostratifizierung statt Gießkanne. Wer ein erhöhtes Risiko hat — durch Familienanamnese, Lynch-Syndrom, Polyp-Vorgeschichte, MASLD, UPF-Konsum, frühe Symptome — der sollte früher kommen. Dafür brauchen wir niedrigschwellige Erkennungstools.</w:t>
      </w:r>
    </w:p>
    <w:p>
      <w:pPr>
        <w:spacing w:before="0" w:after="80"/>
      </w:pPr>
    </w:p>
    <w:p>
      <w:pPr>
        <w:spacing w:before="120" w:after="40"/>
      </w:pPr>
      <w:r>
        <w:rPr>
          <w:b/>
          <w:color w:val="01696F"/>
          <w:sz w:val="20"/>
        </w:rPr>
        <w:t>FALLS GEFRAGT — WARUM NICHT NUR FÄKALEN OKKULTBLUTTEST (FOBT)?</w:t>
      </w:r>
    </w:p>
    <w:p>
      <w:pPr>
        <w:spacing w:before="0" w:after="40"/>
      </w:pPr>
      <w:r>
        <w:rPr>
          <w:sz w:val="20"/>
        </w:rPr>
        <w:t>FIT (fäkaler Immuntest) ist ein valides Vorscreening-Tool, aber er erkennt keine Polypen, nur manifeste Blutungen. Für EO-CRC, das häufiger links und aggressiver ist, ist eine strukturelle Untersuchung vorzuziehen, sobald Risikofaktoren vorliegen.</w:t>
      </w:r>
    </w:p>
    <w:p>
      <w:pPr>
        <w:spacing w:before="0" w:after="80"/>
      </w:pPr>
    </w:p>
    <w:p>
      <w:pPr>
        <w:spacing w:before="0" w:after="40"/>
      </w:pPr>
      <w:r>
        <w:rPr>
          <w:i/>
          <w:color w:val="5A5A5A"/>
          <w:sz w:val="20"/>
        </w:rPr>
        <w:t>→ Überleitung: Aber wo informieren sich unsere Patienten, wenn das System sie nicht aktiv erreicht?</w:t>
      </w:r>
    </w:p>
    <w:p>
      <w:r>
        <w:br w:type="page"/>
      </w:r>
    </w:p>
    <w:p>
      <w:pPr>
        <w:spacing w:before="280" w:after="40"/>
      </w:pPr>
      <w:r>
        <w:rPr>
          <w:b/>
          <w:color w:val="0C4E54"/>
          <w:sz w:val="26"/>
        </w:rPr>
        <w:t>F6 — Wo sind die Patienten? Was finden sie dort?</w:t>
      </w:r>
    </w:p>
    <w:p>
      <w:pPr>
        <w:spacing w:after="80"/>
      </w:pPr>
      <w:r>
        <w:rPr>
          <w:color w:val="CCCCCC"/>
          <w:sz w:val="14"/>
        </w:rPr>
        <w:t>────────────────────────────────────────────────────────────────────────────────</w:t>
      </w:r>
    </w:p>
    <w:p>
      <w:pPr>
        <w:spacing w:before="120" w:after="40"/>
      </w:pPr>
      <w:r>
        <w:rPr>
          <w:b/>
          <w:color w:val="01696F"/>
          <w:sz w:val="20"/>
        </w:rPr>
        <w:t>FOLIE 6 — WO SIND DIE PATIENTEN? WAS FINDEN SIE DORT?</w:t>
      </w:r>
    </w:p>
    <w:p>
      <w:pPr>
        <w:spacing w:before="0" w:after="80"/>
      </w:pPr>
    </w:p>
    <w:p>
      <w:pPr>
        <w:spacing w:before="0" w:after="40"/>
      </w:pPr>
      <w:r>
        <w:rPr>
          <w:sz w:val="20"/>
        </w:rPr>
        <w:t>Diese Folie ist der Kontrastpunkt im Vortrag: Wo holen sich Patienten Informationen, wenn das System sie nicht erreicht?</w:t>
      </w:r>
    </w:p>
    <w:p>
      <w:pPr>
        <w:spacing w:before="0" w:after="80"/>
      </w:pPr>
    </w:p>
    <w:p>
      <w:pPr>
        <w:spacing w:before="120" w:after="40"/>
      </w:pPr>
      <w:r>
        <w:rPr>
          <w:b/>
          <w:color w:val="01696F"/>
          <w:sz w:val="20"/>
        </w:rPr>
        <w:t>#GUTTOK — 6 MILLIARDEN AUFRUFE:</w:t>
      </w:r>
    </w:p>
    <w:p>
      <w:pPr>
        <w:spacing w:before="0" w:after="40"/>
      </w:pPr>
      <w:r>
        <w:rPr>
          <w:sz w:val="20"/>
        </w:rPr>
        <w:t>Die Zahl stammt aus dem TikTok Health Insights Report 2024, bestätigt durch die LA Times 2025. Der Hashtag #GutTok hat mehr als 6 Milliarden Aufrufe — zum Vergleich: die Fußball-WM 2022 hatte ca. 4 Milliarden Zuschauer weltweit über alle Kanäle. Darmgesundheit ist eines der meistbesprochenen Gesundheitsthemen auf TikTok — ohne medizinische Qualitätskontrolle.</w:t>
      </w:r>
    </w:p>
    <w:p>
      <w:pPr>
        <w:spacing w:before="0" w:after="80"/>
      </w:pPr>
    </w:p>
    <w:p>
      <w:pPr>
        <w:spacing w:before="120" w:after="40"/>
      </w:pPr>
      <w:r>
        <w:rPr>
          <w:b/>
          <w:color w:val="01696F"/>
          <w:sz w:val="20"/>
        </w:rPr>
        <w:t>WAS BEDEUTET DAS FÜR DIE PRAXIS?</w:t>
      </w:r>
    </w:p>
    <w:p>
      <w:pPr>
        <w:spacing w:before="0" w:after="40"/>
      </w:pPr>
      <w:r>
        <w:rPr>
          <w:sz w:val="20"/>
        </w:rPr>
        <w:t>Unsere Patienten kommen mit Fragen zu Berberin, Probiotika und glutenfreier Ernährung — nicht weil sie naiv sind, sondern weil das Vakuum, das wir als Fach gelassen haben, gefüllt wurde. Das ist eine Kommunikationsaufgabe.</w:t>
      </w:r>
    </w:p>
    <w:p>
      <w:pPr>
        <w:spacing w:before="0" w:after="80"/>
      </w:pPr>
    </w:p>
    <w:p>
      <w:pPr>
        <w:spacing w:before="120" w:after="40"/>
      </w:pPr>
      <w:r>
        <w:rPr>
          <w:b/>
          <w:color w:val="01696F"/>
          <w:sz w:val="20"/>
        </w:rPr>
        <w:t>DIE VIER BEISPIELE — WAS STIMMT, WAS NICHT:</w:t>
      </w:r>
    </w:p>
    <w:p>
      <w:pPr>
        <w:spacing w:before="0" w:after="80"/>
      </w:pPr>
    </w:p>
    <w:p>
      <w:pPr>
        <w:spacing w:before="0" w:after="40"/>
      </w:pPr>
      <w:r>
        <w:rPr>
          <w:sz w:val="20"/>
        </w:rPr>
        <w:t>Probiotika: Cochrane-Review 2019 — stammspezifisch wirksam für bestimmte Indikationen, z.B. antibiotikaassoziierte Diarrhoe (AAD), Reizdarm bei bestimmten Subgruppen. Aber: keine Evidenz für Krebsprävention. Der Social-Media-Claim ist zu breit, nicht per se falsch.</w:t>
      </w:r>
    </w:p>
    <w:p>
      <w:pPr>
        <w:spacing w:before="0" w:after="80"/>
      </w:pPr>
    </w:p>
    <w:p>
      <w:pPr>
        <w:spacing w:before="0" w:after="40"/>
      </w:pPr>
      <w:r>
        <w:rPr>
          <w:sz w:val="20"/>
        </w:rPr>
        <w:t>Berberin als "Natur-Ozempic": Der Mechanismus (AMPK-Aktivierung) ist ein anderer als GLP-1-Rezeptoraktivierung. Die orale Bioverfügbarkeit liegt unter 1% — d.h. vom Berberin, das man schluckt, kommt weniger als 1% wirklich ins Blut. Es gibt keinen einzigen RCT mit harten klinischen Endpunkten (Gewicht, HbA1c auf Bevölkerungsebene). Was es gibt: in-vitro-Zell- und Tierstudien. Das ist kein klinischer Beweis.</w:t>
      </w:r>
    </w:p>
    <w:p>
      <w:pPr>
        <w:spacing w:before="0" w:after="80"/>
      </w:pPr>
    </w:p>
    <w:p>
      <w:pPr>
        <w:spacing w:before="0" w:after="40"/>
      </w:pPr>
      <w:r>
        <w:rPr>
          <w:sz w:val="20"/>
        </w:rPr>
        <w:t>Kurkuma/Curcumin: In-vitro sehr aktiv — aber das bedeutet: in Zellkulturen oder Tiermodellen. In vivo (beim lebenden Menschen) ist die Bioverfügbarkeit ebenfalls extrem gering, und kein prospektiver RCT hat KRK-Prävention durch Curcumin beim Menschen belegt.</w:t>
      </w:r>
    </w:p>
    <w:p>
      <w:pPr>
        <w:spacing w:before="0" w:after="80"/>
      </w:pPr>
    </w:p>
    <w:p>
      <w:pPr>
        <w:spacing w:before="0" w:after="40"/>
      </w:pPr>
      <w:r>
        <w:rPr>
          <w:sz w:val="20"/>
        </w:rPr>
        <w:t>Glutenfrei: Indiziert bei Zöliakie und Nicht-Zöliakie-Weizensensitivität. Ohne Diagnose: kein Nutzen nachgewiesen, potenziell Nachteil durch niedrigeren Ballaststoffgehalt und höheren glykämischen Index vieler Glutenfrei-Produkte.</w:t>
      </w:r>
    </w:p>
    <w:p>
      <w:pPr>
        <w:spacing w:before="0" w:after="80"/>
      </w:pPr>
    </w:p>
    <w:p>
      <w:pPr>
        <w:spacing w:before="120" w:after="40"/>
      </w:pPr>
      <w:r>
        <w:rPr>
          <w:b/>
          <w:color w:val="01696F"/>
          <w:sz w:val="20"/>
        </w:rPr>
        <w:t>DIE BOTSCHAFT:</w:t>
      </w:r>
    </w:p>
    <w:p>
      <w:pPr>
        <w:spacing w:before="0" w:after="40"/>
      </w:pPr>
      <w:r>
        <w:rPr>
          <w:sz w:val="20"/>
        </w:rPr>
        <w:t>Nicht "TikTok ist böse". Sondern: "Wir brauchen einen Gegenanker." Und den können wir in 2 Minuten setzen — eine kurze, ehrliche Einordnung im Gespräch.</w:t>
      </w:r>
    </w:p>
    <w:p>
      <w:pPr>
        <w:spacing w:before="0" w:after="80"/>
      </w:pPr>
    </w:p>
    <w:p>
      <w:pPr>
        <w:spacing w:before="0" w:after="40"/>
      </w:pPr>
      <w:r>
        <w:rPr>
          <w:i/>
          <w:color w:val="5A5A5A"/>
          <w:sz w:val="20"/>
        </w:rPr>
        <w:t>→ Überleitung: Und es gibt tatsächlich einen echten, gut belegten modifizierbaren Risikofaktor — der aber kaum diskutiert wird.</w:t>
      </w:r>
    </w:p>
    <w:p>
      <w:r>
        <w:br w:type="page"/>
      </w:r>
    </w:p>
    <w:p>
      <w:pPr>
        <w:spacing w:before="280" w:after="40"/>
      </w:pPr>
      <w:r>
        <w:rPr>
          <w:b/>
          <w:color w:val="0C4E54"/>
          <w:sz w:val="26"/>
        </w:rPr>
        <w:t>F7 — Ultra-processed Food &amp; KRK: Stärke der Evidenz</w:t>
      </w:r>
    </w:p>
    <w:p>
      <w:pPr>
        <w:spacing w:after="80"/>
      </w:pPr>
      <w:r>
        <w:rPr>
          <w:color w:val="CCCCCC"/>
          <w:sz w:val="14"/>
        </w:rPr>
        <w:t>────────────────────────────────────────────────────────────────────────────────</w:t>
      </w:r>
    </w:p>
    <w:p>
      <w:pPr>
        <w:spacing w:before="120" w:after="40"/>
      </w:pPr>
      <w:r>
        <w:rPr>
          <w:b/>
          <w:color w:val="01696F"/>
          <w:sz w:val="20"/>
        </w:rPr>
        <w:t>FOLIE 7 — ULTRA-PROCESSED FOOD &amp; KRK: STÄRKE DER EVIDENZ</w:t>
      </w:r>
    </w:p>
    <w:p>
      <w:pPr>
        <w:spacing w:before="0" w:after="80"/>
      </w:pPr>
    </w:p>
    <w:p>
      <w:pPr>
        <w:spacing w:before="0" w:after="40"/>
      </w:pPr>
      <w:r>
        <w:rPr>
          <w:sz w:val="20"/>
        </w:rPr>
        <w:t>Hier präsentiere ich den best-belegten modifizierbaren Ernährungsrisikofaktor für KRK — auch wenn noch kein RCT die Kausalität formal beweist.</w:t>
      </w:r>
    </w:p>
    <w:p>
      <w:pPr>
        <w:spacing w:before="0" w:after="80"/>
      </w:pPr>
    </w:p>
    <w:p>
      <w:pPr>
        <w:spacing w:before="120" w:after="40"/>
      </w:pPr>
      <w:r>
        <w:rPr>
          <w:b/>
          <w:color w:val="01696F"/>
          <w:sz w:val="20"/>
        </w:rPr>
        <w:t>DIE FÜNF STUDIEN — KURZE EINORDNUNG JEDER:</w:t>
      </w:r>
    </w:p>
    <w:p>
      <w:pPr>
        <w:spacing w:before="0" w:after="80"/>
      </w:pPr>
    </w:p>
    <w:p>
      <w:pPr>
        <w:spacing w:before="0" w:after="40"/>
      </w:pPr>
      <w:r>
        <w:rPr>
          <w:sz w:val="20"/>
        </w:rPr>
        <w:t>Wang et al. BMJ 2022 (NHS/HPFS-Kohorte, n≈206.000, 24–28 Jahre Follow-up):</w:t>
      </w:r>
    </w:p>
    <w:p>
      <w:pPr>
        <w:spacing w:before="0" w:after="40"/>
      </w:pPr>
      <w:r>
        <w:rPr>
          <w:sz w:val="20"/>
        </w:rPr>
        <w:t>Die wichtigste Primärstudie. HR 1,29 bei Männern bedeutet: Wer viel ultra-verarbeitete Lebensmittel isst, hat ein 29% höheres relatives Risiko für KRK als derjenige, der wenig davon isst. Bei distalem KRK bei Männern sogar HR 1,72 — also 72% höheres relatives Risiko.</w:t>
      </w:r>
    </w:p>
    <w:p>
      <w:pPr>
        <w:spacing w:before="0" w:after="40"/>
      </w:pPr>
      <w:r>
        <w:rPr>
          <w:sz w:val="20"/>
        </w:rPr>
        <w:t>WICHTIGE EINSCHRÄNKUNG: Bei Frauen kein signifikanter Gesamteffekt. Nur bei bestimmten Untergruppen (ready-to-eat dishes). Falls jemand das anspricht: "Das stimmt, der Gesamteffekt ist bei Frauen nicht signifikant — aber die Adenomstudie aus JAMA Oncology 2025 zeigt genau bei Frauen unter 50 einen Effekt. Das könnte ein Stadium-Effekt sein: UPF treibt zunächst Adenome, nicht sofort invasives KRK."</w:t>
      </w:r>
    </w:p>
    <w:p>
      <w:pPr>
        <w:spacing w:before="0" w:after="80"/>
      </w:pPr>
    </w:p>
    <w:p>
      <w:pPr>
        <w:spacing w:before="0" w:after="40"/>
      </w:pPr>
      <w:r>
        <w:rPr>
          <w:sz w:val="20"/>
        </w:rPr>
        <w:t>Meta-Analyse Frontiers 2023 (7 Artikel, 18.673 Fälle, 462.292 Teilnehmer):</w:t>
      </w:r>
    </w:p>
    <w:p>
      <w:pPr>
        <w:spacing w:before="0" w:after="40"/>
      </w:pPr>
      <w:r>
        <w:rPr>
          <w:sz w:val="20"/>
        </w:rPr>
        <w:t>RR 1,26 (95%CI 1,14–1,38). Bestätigt den Wang-Befund auf breiterer Datenbasis. Heterogenität moderat (I²=58,5%) — das bedeutet, die Studien sind nicht alle gleich, aber das Gesamtbild ist konsistent.</w:t>
      </w:r>
    </w:p>
    <w:p>
      <w:pPr>
        <w:spacing w:before="0" w:after="80"/>
      </w:pPr>
    </w:p>
    <w:p>
      <w:pPr>
        <w:spacing w:before="0" w:after="40"/>
      </w:pPr>
      <w:r>
        <w:rPr>
          <w:sz w:val="20"/>
        </w:rPr>
        <w:t>JAMA Oncology 2025 (Nurses' Health Study II, n=29.105 Frauen &lt;50J):</w:t>
      </w:r>
    </w:p>
    <w:p>
      <w:pPr>
        <w:spacing w:before="0" w:after="40"/>
      </w:pPr>
      <w:r>
        <w:rPr>
          <w:sz w:val="20"/>
        </w:rPr>
        <w:t>AOR 1,45 für konventionelle Adenome. Das ist die erste große Studie, die spezifisch Early-Onset-relevante Präkursoren (konventionelle Adenome, der Weg zu EO-CRC) bei jungen Frauen untersucht. Keine Assoziation mit serratierten Läsionen — was biologisch sinnvoll ist (serratierter Weg ist langsamer, tritt häufiger bei Älteren auf).</w:t>
      </w:r>
    </w:p>
    <w:p>
      <w:pPr>
        <w:spacing w:before="0" w:after="80"/>
      </w:pPr>
    </w:p>
    <w:p>
      <w:pPr>
        <w:spacing w:before="0" w:after="40"/>
      </w:pPr>
      <w:r>
        <w:rPr>
          <w:sz w:val="20"/>
        </w:rPr>
        <w:t>EPIC-Studie 2023 (n≈450.000 Europa):</w:t>
      </w:r>
    </w:p>
    <w:p>
      <w:pPr>
        <w:spacing w:before="0" w:after="40"/>
      </w:pPr>
      <w:r>
        <w:rPr>
          <w:sz w:val="20"/>
        </w:rPr>
        <w:t>Prospektiv, groß, europäische Population. HR 0,93 bei Substitution von UPF durch Vollkornprodukte — d.h. wer UPF durch echte Körner ersetzt, hat 7% niedrigeres Risiko. Kleiner Effekt, aber kausaler Mechanismus plausibler als reine Korrelation.</w:t>
      </w:r>
    </w:p>
    <w:p>
      <w:pPr>
        <w:spacing w:before="0" w:after="80"/>
      </w:pPr>
    </w:p>
    <w:p>
      <w:pPr>
        <w:spacing w:before="0" w:after="40"/>
      </w:pPr>
      <w:r>
        <w:rPr>
          <w:sz w:val="20"/>
        </w:rPr>
        <w:t>Nutr Reviews 2026 (20 Studien): RR 1,13 bei ≥4 Portionen/Tag — jüngste Meta-Analyse, etwas geringerer Effekt als 2023, aber konsistent.</w:t>
      </w:r>
    </w:p>
    <w:p>
      <w:pPr>
        <w:spacing w:before="0" w:after="80"/>
      </w:pPr>
    </w:p>
    <w:p>
      <w:pPr>
        <w:spacing w:before="120" w:after="40"/>
      </w:pPr>
      <w:r>
        <w:rPr>
          <w:b/>
          <w:color w:val="01696F"/>
          <w:sz w:val="20"/>
        </w:rPr>
        <w:t>WAS IST MEIN ARGUMENT TROTZ FEHLENDER KAUSALITÄT?</w:t>
      </w:r>
    </w:p>
    <w:p>
      <w:pPr>
        <w:spacing w:before="0" w:after="40"/>
      </w:pPr>
      <w:r>
        <w:rPr>
          <w:sz w:val="20"/>
        </w:rPr>
        <w:t>Drei Punkte:</w:t>
      </w:r>
    </w:p>
    <w:p>
      <w:pPr>
        <w:spacing w:before="0" w:after="40"/>
      </w:pPr>
      <w:r>
        <w:rPr>
          <w:sz w:val="20"/>
        </w:rPr>
        <w:t>1. Biologische Plausibilität: UPF fördert Adipositas, Insulinresistenz, chronische Inflammation, Dysbiose — alle vier sind etablierte KRK-Risikofaktoren.</w:t>
      </w:r>
    </w:p>
    <w:p>
      <w:pPr>
        <w:spacing w:before="0" w:after="40"/>
      </w:pPr>
      <w:r>
        <w:rPr>
          <w:sz w:val="20"/>
        </w:rPr>
        <w:t>2. Konsistenz über Studien, Populationen und Designs hinweg: Das ist epidemiologisch ein starkes Signal.</w:t>
      </w:r>
    </w:p>
    <w:p>
      <w:pPr>
        <w:spacing w:before="0" w:after="40"/>
      </w:pPr>
      <w:r>
        <w:rPr>
          <w:sz w:val="20"/>
        </w:rPr>
        <w:t>3. Umsetzbarkeit: "Essen Sie weniger Fertigprodukte" ist eine Empfehlung, die kein Geld kostet, keine Nebenwirkungen hat und von jedem Patienten verstanden wird. Das ist das Kriterium für eine praktikable Präventionsbotschaft.</w:t>
      </w:r>
    </w:p>
    <w:p>
      <w:pPr>
        <w:spacing w:before="0" w:after="80"/>
      </w:pPr>
    </w:p>
    <w:p>
      <w:pPr>
        <w:spacing w:before="0" w:after="40"/>
      </w:pPr>
      <w:r>
        <w:rPr>
          <w:b/>
          <w:color w:val="DA7101"/>
          <w:sz w:val="20"/>
        </w:rPr>
        <w:t>FALLS JEMAND FRAGT: "Kein RCT, also können wir das nicht empfehlen?"</w:t>
      </w:r>
    </w:p>
    <w:p>
      <w:pPr>
        <w:spacing w:before="0" w:after="40"/>
      </w:pPr>
      <w:r>
        <w:rPr>
          <w:sz w:val="20"/>
        </w:rPr>
        <w:t>"Bei einem Ernährungsfaktor ist ein RCT kaum durchführbar — man kann Menschen nicht 25 Jahre randomisiert ernähren. Die Bradford-Hill-Kriterien für Kausalität (Stärke, Konsistenz, Spezifität, Zeitlichkeit, biologischer Gradient, Plausibilität) sind für UPF und KRK weitgehend erfüllt. Das reicht für eine Patientenberatung."</w:t>
      </w:r>
    </w:p>
    <w:p>
      <w:pPr>
        <w:spacing w:before="0" w:after="80"/>
      </w:pPr>
    </w:p>
    <w:p>
      <w:pPr>
        <w:spacing w:before="0" w:after="40"/>
      </w:pPr>
      <w:r>
        <w:rPr>
          <w:i/>
          <w:color w:val="5A5A5A"/>
          <w:sz w:val="20"/>
        </w:rPr>
        <w:t>→ Überleitung: Ultra-processed Food ist direkt mit dem nächsten unterschätzten Problem verknüpft: MASLD.</w:t>
      </w:r>
    </w:p>
    <w:p>
      <w:r>
        <w:br w:type="page"/>
      </w:r>
    </w:p>
    <w:p>
      <w:pPr>
        <w:spacing w:before="280" w:after="40"/>
      </w:pPr>
      <w:r>
        <w:rPr>
          <w:b/>
          <w:color w:val="0C4E54"/>
          <w:sz w:val="26"/>
        </w:rPr>
        <w:t>F8 — MASLD: Unterschätzt, unterdiagnostiziert — und relevant</w:t>
      </w:r>
    </w:p>
    <w:p>
      <w:pPr>
        <w:spacing w:after="80"/>
      </w:pPr>
      <w:r>
        <w:rPr>
          <w:color w:val="CCCCCC"/>
          <w:sz w:val="14"/>
        </w:rPr>
        <w:t>────────────────────────────────────────────────────────────────────────────────</w:t>
      </w:r>
    </w:p>
    <w:p>
      <w:pPr>
        <w:spacing w:before="120" w:after="40"/>
      </w:pPr>
      <w:r>
        <w:rPr>
          <w:b/>
          <w:color w:val="01696F"/>
          <w:sz w:val="20"/>
        </w:rPr>
        <w:t>FOLIE 8 — MASLD: UNTERSCHÄTZT, UNTERDIAGNOSTIZIERT — UND RELEVANT</w:t>
      </w:r>
    </w:p>
    <w:p>
      <w:pPr>
        <w:spacing w:before="0" w:after="80"/>
      </w:pPr>
    </w:p>
    <w:p>
      <w:pPr>
        <w:spacing w:before="0" w:after="40"/>
      </w:pPr>
      <w:r>
        <w:rPr>
          <w:sz w:val="20"/>
        </w:rPr>
        <w:t>MASLD ist das Querschnittsthema dieses Vortrags: Es verbindet UPF, Adipositas, metabolisches Syndrom, KRK-Risiko und HCC-Prävention.</w:t>
      </w:r>
    </w:p>
    <w:p>
      <w:pPr>
        <w:spacing w:before="0" w:after="80"/>
      </w:pPr>
    </w:p>
    <w:p>
      <w:pPr>
        <w:spacing w:before="120" w:after="40"/>
      </w:pPr>
      <w:r>
        <w:rPr>
          <w:b/>
          <w:color w:val="01696F"/>
          <w:sz w:val="20"/>
        </w:rPr>
        <w:t>DIE DREI KERNZAHLEN:</w:t>
      </w:r>
    </w:p>
    <w:p>
      <w:pPr>
        <w:spacing w:before="0" w:after="80"/>
      </w:pPr>
    </w:p>
    <w:p>
      <w:pPr>
        <w:spacing w:before="0" w:after="40"/>
      </w:pPr>
      <w:r>
        <w:rPr>
          <w:sz w:val="20"/>
        </w:rPr>
        <w:t>&gt;30% Prävalenz weltweit (~25% in Deutschland):</w:t>
      </w:r>
    </w:p>
    <w:p>
      <w:pPr>
        <w:spacing w:before="0" w:after="40"/>
      </w:pPr>
      <w:r>
        <w:rPr>
          <w:sz w:val="20"/>
        </w:rPr>
        <w:t>Meta-Analysen (Younossi et al. J Hepatol 2019, Update 2024) zeigen globale MASLD-Prävalenz von 30–38%. Für Deutschland ca. 25% (GBD-Daten, EASL 2024). Das bedeutet: Jeder vierte Patient in Ihrer Praxis hat wahrscheinlich eine Fettleber.</w:t>
      </w:r>
    </w:p>
    <w:p>
      <w:pPr>
        <w:spacing w:before="0" w:after="80"/>
      </w:pPr>
    </w:p>
    <w:p>
      <w:pPr>
        <w:spacing w:before="0" w:after="40"/>
      </w:pPr>
      <w:r>
        <w:rPr>
          <w:sz w:val="20"/>
        </w:rPr>
        <w:t>~20:1 Erkrankte zu Diagnostizierten:</w:t>
      </w:r>
    </w:p>
    <w:p>
      <w:pPr>
        <w:spacing w:before="0" w:after="40"/>
      </w:pPr>
      <w:r>
        <w:rPr>
          <w:sz w:val="20"/>
        </w:rPr>
        <w:t>Alexander et al. BMC Medicine 2018 — das ist die Schlüsselquelle. 17,7 Millionen europäische Primärversorgungspatienten aus 8 Ländern. Kodierte NAFLD-Prävalenz: 1–2%. Geschätzte wahre Prävalenz basierend auf Ultraschall und Biomarker-Daten: 20–25%. Das ergibt eine Ratio von 10–20:1. Für Deutschland plausibel 20:1 — denn Deutschland hat strukturell ähnliche Primärversorgungssysteme wie die untersuchten Länder.</w:t>
      </w:r>
    </w:p>
    <w:p>
      <w:pPr>
        <w:spacing w:before="0" w:after="40"/>
      </w:pPr>
      <w:r>
        <w:rPr>
          <w:sz w:val="20"/>
        </w:rPr>
        <w:t>Warum ist das so? MASLD ist asymptomatisch im Frühstadium, es gibt kein Screening-Programm, keine Pflicht zur Kodierung, und der alte Begriff "NAFLD" suggerierte fälschlicherweise, es sei ein Nischenthema der Hepatologie. Der neue Begriff MASLD (seit 2023) soll das ändern.</w:t>
      </w:r>
    </w:p>
    <w:p>
      <w:pPr>
        <w:spacing w:before="0" w:after="80"/>
      </w:pPr>
    </w:p>
    <w:p>
      <w:pPr>
        <w:spacing w:before="0" w:after="40"/>
      </w:pPr>
      <w:r>
        <w:rPr>
          <w:sz w:val="20"/>
        </w:rPr>
        <w:t>HCC ×2 bis 2050 — US-Modellierung:</w:t>
      </w:r>
    </w:p>
    <w:p>
      <w:pPr>
        <w:spacing w:before="0" w:after="40"/>
      </w:pPr>
      <w:r>
        <w:rPr>
          <w:sz w:val="20"/>
        </w:rPr>
        <w:t>Diese Prognose stammt aus einer US-amerikanischen Mikrosimulationsstudie (JAMA Network Open 2025). Sie modelliert die HCC-Inzidenzentwicklung basierend auf aktuellen MASLD-Trends. WICHTIG: Das sind US-Daten. Für Deutschland gibt es keine identische Modellierung — aber die EASL 2024 erwartet ebenfalls einen signifikanten HCC-Inzidenzanstieg durch MASLD in Europa. Ich empfehle, diese Zahl mit dem Zusatz "(US-Modellierung)" zu verwenden, wie auf der Folie.</w:t>
      </w:r>
    </w:p>
    <w:p>
      <w:pPr>
        <w:spacing w:before="0" w:after="80"/>
      </w:pPr>
    </w:p>
    <w:p>
      <w:pPr>
        <w:spacing w:before="120" w:after="40"/>
      </w:pPr>
      <w:r>
        <w:rPr>
          <w:b/>
          <w:color w:val="01696F"/>
          <w:sz w:val="20"/>
        </w:rPr>
        <w:t>FIB-4 — WARUM TROTZ LIMITATIONEN ERHEBEN?</w:t>
      </w:r>
    </w:p>
    <w:p>
      <w:pPr>
        <w:spacing w:before="0" w:after="40"/>
      </w:pPr>
      <w:r>
        <w:rPr>
          <w:sz w:val="20"/>
        </w:rPr>
        <w:t>FIB-4 ist ein Laborindex aus Routinewerten: (Alter × AST) / (Thrombozyten × Quadratwurzel aus ALT). Cutoff &lt;1,3: niedriges Fibroserisiko. Cutoff &gt;2,67: hohes Fibroserisiko.</w:t>
      </w:r>
    </w:p>
    <w:p>
      <w:pPr>
        <w:spacing w:before="0" w:after="80"/>
      </w:pPr>
    </w:p>
    <w:p>
      <w:pPr>
        <w:spacing w:before="0" w:after="40"/>
      </w:pPr>
      <w:r>
        <w:rPr>
          <w:sz w:val="20"/>
        </w:rPr>
        <w:t>Die Daten: Meta-Analyse (n=5.521, Int J Hepatology 2026), Cutoff &lt;1,3: Sensitivität 0,73, Spezifität 0,69.</w:t>
      </w:r>
    </w:p>
    <w:p>
      <w:pPr>
        <w:spacing w:before="0" w:after="40"/>
      </w:pPr>
      <w:r>
        <w:rPr>
          <w:sz w:val="20"/>
        </w:rPr>
        <w:t>Was das bedeutet:</w:t>
      </w:r>
    </w:p>
    <w:p>
      <w:pPr>
        <w:spacing w:before="0" w:after="40"/>
      </w:pPr>
      <w:r>
        <w:rPr>
          <w:sz w:val="20"/>
        </w:rPr>
        <w:t>- Von 100 Patienten mit echter signifikanter Fibrose (≥F2) findet FIB-4 73.</w:t>
      </w:r>
    </w:p>
    <w:p>
      <w:pPr>
        <w:spacing w:before="0" w:after="40"/>
      </w:pPr>
      <w:r>
        <w:rPr>
          <w:sz w:val="20"/>
        </w:rPr>
        <w:t>- Von 100 Patienten ohne Fibrose sagt FIB-4 bei 31 fälschlicherweise "erhöhtes Risiko" — das ist die falsch-positive Rate.</w:t>
      </w:r>
    </w:p>
    <w:p>
      <w:pPr>
        <w:spacing w:before="0" w:after="80"/>
      </w:pPr>
    </w:p>
    <w:p>
      <w:pPr>
        <w:spacing w:before="0" w:after="40"/>
      </w:pPr>
      <w:r>
        <w:rPr>
          <w:b/>
          <w:color w:val="DA7101"/>
          <w:sz w:val="20"/>
        </w:rPr>
        <w:t>FALLS JEMAND FRAGT: "31% falsch-positiv ist inakzeptabel für ein Screening-Tool."</w:t>
      </w:r>
    </w:p>
    <w:p>
      <w:pPr>
        <w:spacing w:before="0" w:after="40"/>
      </w:pPr>
      <w:r>
        <w:rPr>
          <w:sz w:val="20"/>
        </w:rPr>
        <w:t>"Das ist eine berechtigte Frage — und sie hat eine klare Antwort. FIB-4 ist kein diagnostisches Instrument, sondern ein Triaging-Tool. Das Ziel ist nicht die Diagnose 'Fibrose', sondern die Identifikation von Patienten, die ein Gespräch, einen Ultraschall oder eine weiterführende Abklärung verdienen. In der Allgemeinversorgung, wo MASLD bei 95% der Patienten gar nicht auf dem Radar ist, ist selbst eine 73%ige Erkennungsrate ein riesiger Fortschritt gegenüber dem Status quo. Die 31% falsch-positiven bekommen dann eine Bestätigung per Ultraschall — kein Schaden angerichtet. Außerdem: FIB-4 kostet nichts extra, weil die Laborwerte bei fast jedem Patienten ohnehin abgenommen werden."</w:t>
      </w:r>
    </w:p>
    <w:p>
      <w:pPr>
        <w:spacing w:before="0" w:after="80"/>
      </w:pPr>
    </w:p>
    <w:p>
      <w:pPr>
        <w:spacing w:before="120" w:after="40"/>
      </w:pPr>
      <w:r>
        <w:rPr>
          <w:b/>
          <w:color w:val="01696F"/>
          <w:sz w:val="20"/>
        </w:rPr>
        <w:t>THERAPEUTISCHES FENSTER — RESMETIROM:</w:t>
      </w:r>
    </w:p>
    <w:p>
      <w:pPr>
        <w:spacing w:before="0" w:after="40"/>
      </w:pPr>
      <w:r>
        <w:rPr>
          <w:sz w:val="20"/>
        </w:rPr>
        <w:t>Resmetirom (Handelsname Rezdiffra) ist der erste zugelassene Wirkstoff für MASH (metabolisch-assoziierte Steatohepatitis). Bedingte EU-Zulassung August 2025 für Fibrosegradierung F2–F3. Nicht für Leberzirrhose. "Bedingt" bedeutet: Die Zulassung wurde erteilt, aber weitere Langzeitdaten zur klinischen Endpunktreduktion (HCC, Transplantation, Tod) werden noch nachgefordert. Der Mechanismus: THRβ-Agonist, aktiviert Schilddrüsenhormonrezeptoren in der Leber → verringert Leberverfettung und Inflammation.</w:t>
      </w:r>
    </w:p>
    <w:p>
      <w:pPr>
        <w:spacing w:before="0" w:after="80"/>
      </w:pPr>
    </w:p>
    <w:p>
      <w:pPr>
        <w:spacing w:before="120" w:after="40"/>
      </w:pPr>
      <w:r>
        <w:rPr>
          <w:b/>
          <w:color w:val="01696F"/>
          <w:sz w:val="20"/>
        </w:rPr>
        <w:t>MASLD UND KRK:</w:t>
      </w:r>
    </w:p>
    <w:p>
      <w:pPr>
        <w:spacing w:before="0" w:after="40"/>
      </w:pPr>
      <w:r>
        <w:rPr>
          <w:sz w:val="20"/>
        </w:rPr>
        <w:t>MASLD erhöht über die metabolische Risikoachse (Adipositas, Insulinresistenz, T2DM) auch das kolorektale Karzinomrisiko — mehrere Metaanalysen zeigen OR 1,2–1,4. Das verbindet diese Folie direkt mit dem Vortragsfaden.</w:t>
      </w:r>
    </w:p>
    <w:p>
      <w:pPr>
        <w:spacing w:before="0" w:after="80"/>
      </w:pPr>
    </w:p>
    <w:p>
      <w:pPr>
        <w:spacing w:before="0" w:after="80"/>
      </w:pPr>
    </w:p>
    <w:p>
      <w:pPr>
        <w:spacing w:before="120" w:after="40"/>
      </w:pPr>
      <w:r>
        <w:rPr>
          <w:b/>
          <w:color w:val="01696F"/>
          <w:sz w:val="20"/>
        </w:rPr>
        <w:t>WARUM WIR DIESE PATIENTEN ERKENNEN MÜSSEN — UND WARUM ES NICHTS KOSTET:</w:t>
      </w:r>
    </w:p>
    <w:p>
      <w:pPr>
        <w:spacing w:before="0" w:after="80"/>
      </w:pPr>
    </w:p>
    <w:p>
      <w:pPr>
        <w:spacing w:before="0" w:after="40"/>
      </w:pPr>
      <w:r>
        <w:rPr>
          <w:sz w:val="20"/>
        </w:rPr>
        <w:t>Ich möchte hier einen Moment innehalten — weil ich glaube, dass MASLD das Thema ist, bei dem wir als Gastroenterologen den größten unmittelbaren Hebel haben.</w:t>
      </w:r>
    </w:p>
    <w:p>
      <w:pPr>
        <w:spacing w:before="0" w:after="80"/>
      </w:pPr>
    </w:p>
    <w:p>
      <w:pPr>
        <w:spacing w:before="0" w:after="40"/>
      </w:pPr>
      <w:r>
        <w:rPr>
          <w:sz w:val="20"/>
        </w:rPr>
        <w:t>Wir reden von einer Erkrankung, die jeden vierten Patienten in der Praxis betrifft. Wir reden von einer Dunkelziffer von 20:1. Und wir reden von einer Erkrankung, bei der wir heute erstmals eine zugelassene medikamentöse Therapie haben — Resmetirom seit August 2025.</w:t>
      </w:r>
    </w:p>
    <w:p>
      <w:pPr>
        <w:spacing w:before="0" w:after="80"/>
      </w:pPr>
    </w:p>
    <w:p>
      <w:pPr>
        <w:spacing w:before="0" w:after="40"/>
      </w:pPr>
      <w:r>
        <w:rPr>
          <w:sz w:val="20"/>
        </w:rPr>
        <w:t>Aber Resmetirom hilft nur dem Patienten, den wir kennen.</w:t>
      </w:r>
    </w:p>
    <w:p>
      <w:pPr>
        <w:spacing w:before="0" w:after="80"/>
      </w:pPr>
    </w:p>
    <w:p>
      <w:pPr>
        <w:spacing w:before="0" w:after="40"/>
      </w:pPr>
      <w:r>
        <w:rPr>
          <w:sz w:val="20"/>
        </w:rPr>
        <w:t>Der Patient, der seit Jahren mit einer stillen Fibrose F2 in der Praxis sitzt und dessen Laborwerte nie systematisch ausgewertet wurden — der wird diese Therapie nicht bekommen. Nicht weil sie nicht zugelassen ist. Sondern weil wir ihn nicht gefunden haben.</w:t>
      </w:r>
    </w:p>
    <w:p>
      <w:pPr>
        <w:spacing w:before="0" w:after="80"/>
      </w:pPr>
    </w:p>
    <w:p>
      <w:pPr>
        <w:spacing w:before="0" w:after="40"/>
      </w:pPr>
      <w:r>
        <w:rPr>
          <w:sz w:val="20"/>
        </w:rPr>
        <w:t>Und jetzt kommt der entscheidende Punkt: FIB-4 kostet nichts. Kein zusätzliches Labor, kein zusätzlicher Termin, kein Gerät. Die Werte — AST, ALT, Thrombozyten, Alter — liegen bei fast jedem Patienten ohnehin vor. Es ist eine Rechenformel. Was fehlt, ist nicht das Budget. Was fehlt, ist die Routine.</w:t>
      </w:r>
    </w:p>
    <w:p>
      <w:pPr>
        <w:spacing w:before="0" w:after="80"/>
      </w:pPr>
    </w:p>
    <w:p>
      <w:pPr>
        <w:spacing w:before="0" w:after="40"/>
      </w:pPr>
      <w:r>
        <w:rPr>
          <w:sz w:val="20"/>
        </w:rPr>
        <w:t>Wenn ich eine einzige Botschaft aus dieser Folie mitgeben darf: Wer morgen früh ins Labor schaut, kann heute Abend noch entscheiden, FIB-4 in seine Praxissoftware als automatischen Hinweis zu hinterlegen. Das kostet fünf Minuten. Und es könnte für einzelne Patienten den Unterschied zwischen F2 und Zirrhose bedeuten.</w:t>
      </w:r>
    </w:p>
    <w:p>
      <w:pPr>
        <w:spacing w:before="0" w:after="80"/>
      </w:pPr>
    </w:p>
    <w:p>
      <w:pPr>
        <w:spacing w:before="0" w:after="40"/>
      </w:pPr>
      <w:r>
        <w:rPr>
          <w:i/>
          <w:color w:val="5A5A5A"/>
          <w:sz w:val="20"/>
        </w:rPr>
        <w:t>→ Überleitung: Kommen wir zu den Maßnahmen, bei denen wir heute konkret handeln können.</w:t>
      </w:r>
    </w:p>
    <w:p>
      <w:r>
        <w:br w:type="page"/>
      </w:r>
    </w:p>
    <w:p>
      <w:pPr>
        <w:spacing w:before="280" w:after="40"/>
      </w:pPr>
      <w:r>
        <w:rPr>
          <w:b/>
          <w:color w:val="0C4E54"/>
          <w:sz w:val="26"/>
        </w:rPr>
        <w:t xml:space="preserve">F9 — Adipositas &amp; Diabetes: Die gemeinsame Wurzel</w:t>
      </w:r>
    </w:p>
    <w:p>
      <w:pPr>
        <w:spacing w:before="0" w:after="80"/>
      </w:pPr>
      <w:r>
        <w:rPr>
          <w:color w:val="CCCCCC"/>
          <w:sz w:val="14"/>
        </w:rPr>
        <w:t xml:space="preserve">────────────────────────────────────────────────────────────────────────────────</w:t>
      </w:r>
    </w:p>
    <w:p>
      <w:pPr>
        <w:spacing w:before="120" w:after="40"/>
      </w:pPr>
      <w:r>
        <w:rPr>
          <w:b/>
          <w:color w:val="01696F"/>
          <w:sz w:val="20"/>
        </w:rPr>
        <w:t xml:space="preserve">FOLIE 9 — ADIPOSITAS &amp; DIABETES: DIE GEMEINSAME WURZEL</w:t>
      </w:r>
    </w:p>
    <w:p>
      <w:pPr>
        <w:spacing w:before="0" w:after="80"/>
      </w:pPr>
    </w:p>
    <w:p>
      <w:pPr>
        <w:spacing w:before="0" w:after="40"/>
      </w:pPr>
      <w:r>
        <w:rPr>
          <w:sz w:val="20"/>
        </w:rPr>
        <w:t xml:space="preserve">Nachdem wir gerade MASLD und das metabolische Syndrom beleuchtet haben, möchte ich einen Schritt zurücktreten und das Gesamtbild zeigen — denn die Zahlen, die ich Ihnen jetzt zeige, sind alarmierend. Adipositas und Typ-2-Diabetes sind keine „Lifestyle-Themen“ am Rande der Gastroenterologie. Sie sind ein unmittelbares Problem für unser Fach.</w:t>
      </w:r>
    </w:p>
    <w:p>
      <w:pPr>
        <w:spacing w:before="0" w:after="80"/>
      </w:pPr>
    </w:p>
    <w:p>
      <w:pPr>
        <w:spacing w:before="0" w:after="40"/>
      </w:pPr>
      <w:r>
        <w:rPr>
          <w:b/>
          <w:sz w:val="20"/>
        </w:rPr>
        <w:t xml:space="preserve">DIE DREI KERNZAHLEN — EPIDEMIOLOGIE:</w:t>
      </w:r>
    </w:p>
    <w:p>
      <w:pPr>
        <w:spacing w:before="0" w:after="40"/>
      </w:pPr>
      <w:r>
        <w:rPr>
          <w:sz w:val="20"/>
        </w:rPr>
        <w:t xml:space="preserve">19,7% der Erwachsenen in Deutschland sind adipös (BMI ≥30) — das sind fast 16,5 Millionen Menschen. Zum Vergleich: 2003 waren es 12,2%. Das ist ein Anstieg von 62% in 20 Jahren. (Quelle: RKI Journal of Health Monitoring 2025, Mensink et al.)</w:t>
      </w:r>
    </w:p>
    <w:p>
      <w:pPr>
        <w:spacing w:before="0" w:after="40"/>
      </w:pPr>
      <w:r>
        <w:rPr>
          <w:sz w:val="20"/>
        </w:rPr>
        <w:t xml:space="preserve">×2 T2DM bis 2040: Von 6,8 Millionen Erkrankten (2015) auf 10,9–14,2 Millionen Betroffene. Das ist keine Prognose am Rande — das ist die beste verfügbare Schätzung, veröffentlicht von Tönnies et al. in Frontiers Epidemiology 2025, und es ist ein Systemversagen in Zeitlupe.</w:t>
      </w:r>
    </w:p>
    <w:p>
      <w:pPr>
        <w:spacing w:before="0" w:after="40"/>
      </w:pPr>
      <w:r>
        <w:rPr>
          <w:sz w:val="20"/>
        </w:rPr>
        <w:t xml:space="preserve">+7,2%/Jahr bei Kindern und Jugendlichen (11–17 Jahre): Ca. 970 betroffene Kinder mit T2DM im Jahr 2022. Das ist eine Erkrankung, die wir vor 20 Jahren bei Kindern kaum kannten — jetzt steigt sie um mehr als 7% pro Jahr. (Quelle: RKI Diabetes-Surveillance 2024)</w:t>
      </w:r>
    </w:p>
    <w:p>
      <w:pPr>
        <w:spacing w:before="0" w:after="40"/>
      </w:pPr>
      <w:r>
        <w:rPr>
          <w:sz w:val="20"/>
        </w:rPr>
        <w:t xml:space="preserve">ZUR ZAHL 7,2%/JAHR: Das ist eine jährliche Wachstumsrate, kein Einzeljahreswert. Die Pandemie (2020–2022) hat diese Dynamik verstärkt: Bewegungsmangel, veränderte Ernährungsmuster, erhöhter Bildschirmkonsum. Die absolute Zahl (~970) ist noch klein — aber der Trend ist eindeutig.</w:t>
      </w:r>
    </w:p>
    <w:p>
      <w:pPr>
        <w:spacing w:before="0" w:after="80"/>
      </w:pPr>
    </w:p>
    <w:p>
      <w:pPr>
        <w:spacing w:before="0" w:after="40"/>
      </w:pPr>
      <w:r>
        <w:rPr>
          <w:b/>
          <w:sz w:val="20"/>
        </w:rPr>
        <w:t xml:space="preserve">GASTROENTEROLOGISCHE RELEVANZ — DIE VERBINDUNG ZU KRK:</w:t>
      </w:r>
    </w:p>
    <w:p>
      <w:pPr>
        <w:spacing w:before="0" w:after="40"/>
      </w:pPr>
      <w:r>
        <w:rPr>
          <w:sz w:val="20"/>
        </w:rPr>
        <w:t xml:space="preserve">+45% EO-CRC-Risiko bei Adipösitas unter 50-Jährigen: Das ist das unmittelbare Link zu unserem Vortragsthema. Seifert et al. (Eur J Epidemiol, Januar 2026) zeigen in einer prospektiven Analyse: Adipösitas erhöht das Darmkrebsrisiko bei unter 50-Jährigen um 45% — unabhängig vom Rauchen, von der Ernährung, von anderen Kofaktoren.</w:t>
      </w:r>
    </w:p>
    <w:p>
      <w:pPr>
        <w:spacing w:before="0" w:after="40"/>
      </w:pPr>
      <w:r>
        <w:rPr>
          <w:sz w:val="20"/>
        </w:rPr>
        <w:t xml:space="preserve">T2DM bei Männern 20–49 Jahren: KRK-Risiko wie die Allgemeinbevölkerung ab 50 Jahren. Das bedeutet: Ein 35-jähriger Mann mit T2DM hat ein Darmkrebsrisiko, das eigentlich Screening-Indikation wäre — bekommt aber kein Screening.</w:t>
      </w:r>
    </w:p>
    <w:p>
      <w:pPr>
        <w:spacing w:before="0" w:after="40"/>
      </w:pPr>
      <w:r>
        <w:rPr>
          <w:sz w:val="20"/>
        </w:rPr>
        <w:t xml:space="preserve">11% aller EU-KRK-Fälle sind adipositasbedingt attributabel (DKFZ, JAMA Network Open 2023). Das ist eine enorm hohe, direkt beeinflussbare Zahl.</w:t>
      </w:r>
    </w:p>
    <w:p>
      <w:pPr>
        <w:spacing w:before="0" w:after="40"/>
      </w:pPr>
      <w:r>
        <w:rPr>
          <w:sz w:val="20"/>
        </w:rPr>
        <w:t xml:space="preserve">Adipösitas 8–10 Jahre vor Diagnose verdoppelt das KRK-Risiko — das ist ein langer Zeitraum, in dem wir hätten intervenieren können.</w:t>
      </w:r>
    </w:p>
    <w:p>
      <w:pPr>
        <w:spacing w:before="0" w:after="80"/>
      </w:pPr>
    </w:p>
    <w:p>
      <w:pPr>
        <w:spacing w:before="0" w:after="40"/>
      </w:pPr>
      <w:r>
        <w:rPr>
          <w:b/>
          <w:sz w:val="20"/>
        </w:rPr>
        <w:t xml:space="preserve">PRÄVENTION BEI KINDERN — WARUM WIR HIER ANSETZEN MÜSSEN:</w:t>
      </w:r>
    </w:p>
    <w:p>
      <w:pPr>
        <w:spacing w:before="0" w:after="40"/>
      </w:pPr>
      <w:r>
        <w:rPr>
          <w:sz w:val="20"/>
        </w:rPr>
        <w:t xml:space="preserve">15,4% der Kinder in Deutschland sind übergewichtig (KiGGS Welle 2). Übergewicht im Kindesalter setzt sich zu 60–70% ins Erwachsenenalter fort — das ist keine pädiatrische Fußnote, das ist unser zukünftiges Patientenkollektiv.</w:t>
      </w:r>
    </w:p>
    <w:p>
      <w:pPr>
        <w:spacing w:before="0" w:after="40"/>
      </w:pPr>
      <w:r>
        <w:rPr>
          <w:sz w:val="20"/>
        </w:rPr>
        <w:t xml:space="preserve">3× häufiger bei niedrigem sozioökonomischem Status: Prävention darf nicht nur für privilegierte Familien sein. Das ist eine Frage der Gesundheitsgerechtigkeit.</w:t>
      </w:r>
    </w:p>
    <w:p>
      <w:pPr>
        <w:spacing w:before="0" w:after="40"/>
      </w:pPr>
      <w:r>
        <w:rPr>
          <w:sz w:val="20"/>
        </w:rPr>
        <w:t xml:space="preserve">GLP-1-RA: Liraglutid ist ab 10 Jahren zugelassen — eine pharmazeutische Option, die es bei Kindern vor wenigen Jahren noch nicht gab.</w:t>
      </w:r>
    </w:p>
    <w:p>
      <w:pPr>
        <w:spacing w:before="0" w:after="40"/>
      </w:pPr>
      <w:r>
        <w:rPr>
          <w:sz w:val="20"/>
        </w:rPr>
        <w:t xml:space="preserve">DDG/DANK 2025 fordern: Zuckersteuer, Schulernährungsstandards, Werbebeschränkung für Kinder. Das sind strukturelle Maßnahmen — keine Einzelfallinterventionen.</w:t>
      </w:r>
    </w:p>
    <w:p>
      <w:pPr>
        <w:spacing w:before="0" w:after="80"/>
      </w:pPr>
    </w:p>
    <w:p>
      <w:pPr>
        <w:spacing w:before="0" w:after="40"/>
      </w:pPr>
      <w:r>
        <w:rPr>
          <w:b/>
          <w:sz w:val="20"/>
        </w:rPr>
        <w:t xml:space="preserve">DIE VERBINDUNGSACHSE:</w:t>
      </w:r>
    </w:p>
    <w:p>
      <w:pPr>
        <w:spacing w:before="0" w:after="40"/>
      </w:pPr>
      <w:r>
        <w:rPr>
          <w:sz w:val="20"/>
        </w:rPr>
        <w:t xml:space="preserve">„Das Wichtigste an dieser Folie ist der untere Block: Adipösitas ▸ MASLD ▸ T2DM ▸ KRK. Diese vier Erkrankungen teilen einen gemeinsamen Treiber: Ultra-processed Food, Insulinresistenz und chronische Inflammation. Das bedeutet: FIB-4 und metabolische Risikostratifizierung ist keine Intervention für MASLD allein — es ist eine Intervention für vier Erkrankungen gleichzeitig. Das ist der klinische Hebel, den wir in der Hand haben.“</w:t>
      </w:r>
    </w:p>
    <w:p>
      <w:pPr>
        <w:spacing w:before="0" w:after="80"/>
      </w:pPr>
    </w:p>
    <w:p>
      <w:pPr>
        <w:spacing w:before="0" w:after="40"/>
      </w:pPr>
      <w:r>
        <w:rPr>
          <w:b/>
          <w:sz w:val="20"/>
        </w:rPr>
        <w:t xml:space="preserve">FALLS JEMAND FRAGT: „Sind GLP-1-Agonisten die Lösung?“</w:t>
      </w:r>
    </w:p>
    <w:p>
      <w:pPr>
        <w:spacing w:before="0" w:after="40"/>
      </w:pPr>
      <w:r>
        <w:rPr>
          <w:sz w:val="20"/>
        </w:rPr>
        <w:t xml:space="preserve">„GLP-1-RA sind ein wichtiges Werkzeug — aber kein Freibrief. Sie behandeln die Folge, nicht die Ursache. Und bei Kindern sollte Pharmakotherapie immer der letzte Schritt nach Lebensstilinterventionen sein.“</w:t>
      </w:r>
    </w:p>
    <w:p>
      <w:pPr>
        <w:spacing w:before="0" w:after="80"/>
      </w:pPr>
    </w:p>
    <w:p>
      <w:pPr>
        <w:spacing w:before="0" w:after="40"/>
      </w:pPr>
      <w:r>
        <w:rPr>
          <w:b/>
          <w:sz w:val="20"/>
        </w:rPr>
        <w:t xml:space="preserve">FALLS JEMAND FRAGT ZU 7,2%/JAHR BEI KINDERN:</w:t>
      </w:r>
    </w:p>
    <w:p>
      <w:pPr>
        <w:spacing w:before="0" w:after="40"/>
      </w:pPr>
      <w:r>
        <w:rPr>
          <w:sz w:val="20"/>
        </w:rPr>
        <w:t xml:space="preserve">„Das ist eine alarmierende Zahl — und sie bedarf einer Einschränkung: Die Absolutzahl ist noch klein (~970 Kinder). Aber ein jährliches Wachstum von 7,2% bedeutet Verdopplungszeit von ca. 10 Jahren. Wenn wir nicht handeln, haben wir in 20 Jahren nicht 1.000, sondern fast 4.000 betroffene Kinder. Das ist Prävention im frühestmöglichen Fenster.“</w:t>
      </w:r>
    </w:p>
    <w:p>
      <w:pPr>
        <w:spacing w:before="0" w:after="80"/>
      </w:pPr>
    </w:p>
    <w:p>
      <w:pPr>
        <w:spacing w:before="0" w:after="40"/>
      </w:pPr>
      <w:r>
        <w:rPr>
          <w:i/>
          <w:color w:val="5A5A5A"/>
          <w:sz w:val="20"/>
        </w:rPr>
        <w:t xml:space="preserve">→ Überleitung: „Und damit kommen wir zu den konkreten Präventivmaßnahmen — was können wir heute, mit den Werkzeugen, die wir haben, tatsächlich tun?“</w:t>
      </w:r>
    </w:p>
    <w:p>
      <w:r>
        <w:br w:type="page"/>
      </w:r>
    </w:p>
    <w:p>
      <w:pPr>
        <w:spacing w:before="280" w:after="40"/>
      </w:pPr>
      <w:r>
        <w:rPr>
          <w:b/>
          <w:color w:val="0C4E54"/>
          <w:sz w:val="26"/>
        </w:rPr>
        <w:t>F10 — Bewährte Präventivmaßnahmen mit echter Evidenz</w:t>
      </w:r>
    </w:p>
    <w:p>
      <w:pPr>
        <w:spacing w:after="80"/>
      </w:pPr>
      <w:r>
        <w:rPr>
          <w:color w:val="CCCCCC"/>
          <w:sz w:val="14"/>
        </w:rPr>
        <w:t>────────────────────────────────────────────────────────────────────────────────</w:t>
      </w:r>
    </w:p>
    <w:p>
      <w:pPr>
        <w:spacing w:before="120" w:after="40"/>
      </w:pPr>
      <w:r>
        <w:rPr>
          <w:b/>
          <w:color w:val="01696F"/>
          <w:sz w:val="20"/>
        </w:rPr>
        <w:t>FOLIE 10 — BEWÄHRTE PRÄVENTIVMASSNAHMEN MIT ECHTER EVIDENZ</w:t>
      </w:r>
    </w:p>
    <w:p>
      <w:pPr>
        <w:spacing w:before="0" w:after="80"/>
      </w:pPr>
    </w:p>
    <w:p>
      <w:pPr>
        <w:spacing w:before="0" w:after="40"/>
      </w:pPr>
      <w:r>
        <w:rPr>
          <w:sz w:val="20"/>
        </w:rPr>
        <w:t>Das ist die Aktionsfolie des Vortrags. Hier sage ich: Das ist es, was wir heute tun können und sollten.</w:t>
      </w:r>
    </w:p>
    <w:p>
      <w:pPr>
        <w:spacing w:before="0" w:after="80"/>
      </w:pPr>
    </w:p>
    <w:p>
      <w:pPr>
        <w:spacing w:before="120" w:after="40"/>
      </w:pPr>
      <w:r>
        <w:rPr>
          <w:b/>
          <w:color w:val="01696F"/>
          <w:sz w:val="20"/>
        </w:rPr>
        <w:t>H. PYLORI SCREEN-AND-TREAT:</w:t>
      </w:r>
    </w:p>
    <w:p>
      <w:pPr>
        <w:spacing w:before="0" w:after="80"/>
      </w:pPr>
    </w:p>
    <w:p>
      <w:pPr>
        <w:spacing w:before="0" w:after="40"/>
      </w:pPr>
      <w:r>
        <w:rPr>
          <w:sz w:val="20"/>
        </w:rPr>
        <w:t>Die Evidenz:</w:t>
      </w:r>
    </w:p>
    <w:p>
      <w:pPr>
        <w:spacing w:before="0" w:after="40"/>
      </w:pPr>
      <w:r>
        <w:rPr>
          <w:sz w:val="20"/>
        </w:rPr>
        <w:t>Die IARC Working Group — eine Expertengruppe der Weltgesundheitsorganisation WHO, die internationale Literatur systematisch bewertet — hat im März 2026 im New England Journal of Medicine eine gepoolte Analyse aus mehreren randomisierten Interventionsstudien publiziert. Das Ergebnis: Konsequente H. pylori-Eradikation senkt die Magenkarzinom-Inzidenz in diesen Studien um 36%.</w:t>
      </w:r>
    </w:p>
    <w:p>
      <w:pPr>
        <w:spacing w:before="0" w:after="40"/>
      </w:pPr>
      <w:r>
        <w:rPr>
          <w:sz w:val="20"/>
        </w:rPr>
        <w:t>Das ist eine sehr starke Evidenzgrundlage: Nicht eine einzelne Studie, sondern eine Zusammenfassung von RCTs durch eine WHO-Institution — höchste Evidenzklasse.</w:t>
      </w:r>
    </w:p>
    <w:p>
      <w:pPr>
        <w:spacing w:before="0" w:after="80"/>
      </w:pPr>
    </w:p>
    <w:p>
      <w:pPr>
        <w:spacing w:before="0" w:after="40"/>
      </w:pPr>
      <w:r>
        <w:rPr>
          <w:sz w:val="20"/>
        </w:rPr>
        <w:t>Die Botschaft für die Praxis:</w:t>
      </w:r>
    </w:p>
    <w:p>
      <w:pPr>
        <w:spacing w:before="0" w:after="40"/>
      </w:pPr>
      <w:r>
        <w:rPr>
          <w:sz w:val="20"/>
        </w:rPr>
        <w:t>H. pylori testen, H. pylori behandeln. Klingt simpel — ist es auch. Das Problem ist der Uptake: In der Primärversorgung wird H. pylori oft nur getestet, wenn Symptome vorhanden sind. Screen-and-Treat bedeutet: Testen auch ohne Symptome, vor allem bei Risikopatienten (Migrationshintergrund aus Hochprävalenzregionen, positive Familienanamnese Magenkarzinom, Erstgradige mit H. pylori).</w:t>
      </w:r>
    </w:p>
    <w:p>
      <w:pPr>
        <w:spacing w:before="0" w:after="80"/>
      </w:pPr>
    </w:p>
    <w:p>
      <w:pPr>
        <w:spacing w:before="0" w:after="40"/>
      </w:pPr>
      <w:r>
        <w:rPr>
          <w:sz w:val="20"/>
        </w:rPr>
        <w:t>Zur Therapie — für Fragen aus dem Publikum:</w:t>
      </w:r>
    </w:p>
    <w:p>
      <w:pPr>
        <w:spacing w:before="0" w:after="40"/>
      </w:pPr>
      <w:r>
        <w:rPr>
          <w:sz w:val="20"/>
        </w:rPr>
        <w:t>In Deutschland liegt die Clarithromycin-Resistenzrate bei 15–20% (Epidemiologisches Bulletin RKI; EUCAST-Surveillance-Daten Deutschland 2023). Das bedeutet: Standardtherapie mit Clarithromycin-basiertem Triple-Schema ist in ca. jedem 5.–7. Fall wirkungslos. Konsequenz: Bismuth-basierte Quadrupeltherapie als bevorzugte Erstlinie, oder PCR-basierter Resistenztest vor Therapiebeginn. Diese Details sind nicht auf der Folie — weil sie ein Therapiethema sind, kein Präventionsthema — aber ich kann sie im Gespräch bringen.</w:t>
      </w:r>
    </w:p>
    <w:p>
      <w:pPr>
        <w:spacing w:before="0" w:after="80"/>
      </w:pPr>
    </w:p>
    <w:p>
      <w:pPr>
        <w:spacing w:before="0" w:after="40"/>
      </w:pPr>
      <w:r>
        <w:rPr>
          <w:sz w:val="20"/>
        </w:rPr>
        <w:t>Familienscreening:</w:t>
      </w:r>
    </w:p>
    <w:p>
      <w:pPr>
        <w:spacing w:before="0" w:after="40"/>
      </w:pPr>
      <w:r>
        <w:rPr>
          <w:sz w:val="20"/>
        </w:rPr>
        <w:t>H. pylori ist eine intra-familiäre Erkrankung. Intra-familiäre Übertragung ist gut belegt, besonders bei Kindern in beengten Verhältnissen. Das bedeutet: Wenn ein Patient H. pylori hat, sollten Erstgradig Verwandte — vor allem Lebenspartner und Kinder — ebenfalls getestet werden.</w:t>
      </w:r>
    </w:p>
    <w:p>
      <w:pPr>
        <w:spacing w:before="0" w:after="80"/>
      </w:pPr>
    </w:p>
    <w:p>
      <w:pPr>
        <w:spacing w:before="120" w:after="40"/>
      </w:pPr>
      <w:r>
        <w:rPr>
          <w:b/>
          <w:color w:val="01696F"/>
          <w:sz w:val="20"/>
        </w:rPr>
        <w:t>ASS BEI LYNCH-SYNDROM:</w:t>
      </w:r>
    </w:p>
    <w:p>
      <w:pPr>
        <w:spacing w:before="0" w:after="80"/>
      </w:pPr>
    </w:p>
    <w:p>
      <w:pPr>
        <w:spacing w:before="0" w:after="40"/>
      </w:pPr>
      <w:r>
        <w:rPr>
          <w:sz w:val="20"/>
        </w:rPr>
        <w:t>Lynch-Syndrom kurz:</w:t>
      </w:r>
    </w:p>
    <w:p>
      <w:pPr>
        <w:spacing w:before="0" w:after="40"/>
      </w:pPr>
      <w:r>
        <w:rPr>
          <w:sz w:val="20"/>
        </w:rPr>
        <w:t>Autosomal-dominante Erkrankung durch Keimbahnmutationen in einem der Mismatch-Repair-Gene (MLH1, MSH2, MSH6, PMS2). Prävalenz ~1:280 in der Bevölkerung — das bedeutet: In einer mittelgroßen Stadt mit 100.000 Einwohnern leben ca. 360 Menschen mit Lynch-Syndrom. Hohes KRK-Risiko (40–80% Lebensrisiko je nach Gen), hohes Endometriumkarzinom-Risiko.</w:t>
      </w:r>
    </w:p>
    <w:p>
      <w:pPr>
        <w:spacing w:before="0" w:after="80"/>
      </w:pPr>
    </w:p>
    <w:p>
      <w:pPr>
        <w:spacing w:before="0" w:after="40"/>
      </w:pPr>
      <w:r>
        <w:rPr>
          <w:sz w:val="20"/>
        </w:rPr>
        <w:t>CaPP2 (Lancet 2020):</w:t>
      </w:r>
    </w:p>
    <w:p>
      <w:pPr>
        <w:spacing w:before="0" w:after="40"/>
      </w:pPr>
      <w:r>
        <w:rPr>
          <w:sz w:val="20"/>
        </w:rPr>
        <w:t>861 Lynch-Syndrom-Patienten aus 43 Zentren weltweit, randomisiert zu 600mg ASS täglich vs. Placebo. Intervention 2,5 Jahre, dann Follow-up bis 10 Jahre.</w:t>
      </w:r>
    </w:p>
    <w:p>
      <w:pPr>
        <w:spacing w:before="0" w:after="40"/>
      </w:pPr>
      <w:r>
        <w:rPr>
          <w:sz w:val="20"/>
        </w:rPr>
        <w:t>Intention-to-treat: HR 0,65 (–35%, signifikant). Per-protocol (≥2 Jahre Einnahme, n=509): Incidence rate ratio 0,50 — Halbierung der KRK-Ereignisrate.</w:t>
      </w:r>
    </w:p>
    <w:p>
      <w:pPr>
        <w:spacing w:before="0" w:after="40"/>
      </w:pPr>
      <w:r>
        <w:rPr>
          <w:sz w:val="20"/>
        </w:rPr>
        <w:t>Wichtiges Detail: Der Effekt wurde erst ab Jahr 5 sichtbar. ASS ist kein kurzwirksamer Schutz, sondern es wird ein Selektionsdruck auf präkanzeröse Zellen ausgeübt, der Zeit braucht, um sich in der Krebsinzidenz niederzuschlagen.</w:t>
      </w:r>
    </w:p>
    <w:p>
      <w:pPr>
        <w:spacing w:before="0" w:after="80"/>
      </w:pPr>
    </w:p>
    <w:p>
      <w:pPr>
        <w:spacing w:before="0" w:after="40"/>
      </w:pPr>
      <w:r>
        <w:rPr>
          <w:sz w:val="20"/>
        </w:rPr>
        <w:t>NNT (Number Needed to Treat):</w:t>
      </w:r>
    </w:p>
    <w:p>
      <w:pPr>
        <w:spacing w:before="0" w:after="40"/>
      </w:pPr>
      <w:r>
        <w:rPr>
          <w:sz w:val="20"/>
        </w:rPr>
        <w:t>Aus den CaPP2 per-protocol-Daten: 40 KRK-Fälle in der ASS-Gruppe vs. 58 in der Placebo-Gruppe bei je ~250 Patienten über 10 Jahre.</w:t>
      </w:r>
    </w:p>
    <w:p>
      <w:pPr>
        <w:spacing w:before="0" w:after="40"/>
      </w:pPr>
      <w:r>
        <w:rPr>
          <w:sz w:val="20"/>
        </w:rPr>
        <w:t>Absolute Risikoreduktion: ca. 18/250 = ~7%. Das ergibt eine NNT von ca. 14 — d.h. man muss 14 Lynch-Patienten 10 Jahre lang mit ASS behandeln, um einen KRK-Fall zu verhindern.</w:t>
      </w:r>
    </w:p>
    <w:p>
      <w:pPr>
        <w:spacing w:before="0" w:after="40"/>
      </w:pPr>
      <w:r>
        <w:rPr>
          <w:sz w:val="20"/>
        </w:rPr>
        <w:t>Das ist eine der besten NNTs in der onkologischen Prävention. Zum Vergleich: Statin zur Primärprävention kardiovaskulärer Ereignisse: NNT ca. 50–100 über 5 Jahre.</w:t>
      </w:r>
    </w:p>
    <w:p>
      <w:pPr>
        <w:spacing w:before="0" w:after="40"/>
      </w:pPr>
      <w:r>
        <w:rPr>
          <w:sz w:val="20"/>
        </w:rPr>
        <w:t>HINWEIS: Die NNT gilt für per-protocol, nicht ITT. Das muss man transparent benennen.</w:t>
      </w:r>
    </w:p>
    <w:p>
      <w:pPr>
        <w:spacing w:before="0" w:after="80"/>
      </w:pPr>
    </w:p>
    <w:p>
      <w:pPr>
        <w:spacing w:before="0" w:after="40"/>
      </w:pPr>
      <w:r>
        <w:rPr>
          <w:sz w:val="20"/>
        </w:rPr>
        <w:t>CaPP3 (Konferenzpräsentation Juni 2025):</w:t>
      </w:r>
    </w:p>
    <w:p>
      <w:pPr>
        <w:spacing w:before="0" w:after="40"/>
      </w:pPr>
      <w:r>
        <w:rPr>
          <w:sz w:val="20"/>
        </w:rPr>
        <w:t>1.879 Lynch-Patienten, drei Armdosen: 75–100mg, 300mg, 600mg. Nicht-Unterlegenheit der niedrigsten Dosis bestätigt.</w:t>
      </w:r>
    </w:p>
    <w:p>
      <w:pPr>
        <w:spacing w:before="0" w:after="40"/>
      </w:pPr>
      <w:r>
        <w:rPr>
          <w:sz w:val="20"/>
        </w:rPr>
        <w:t>Was bedeutet Nicht-Unterlegenheit? Nicht "gleich gut", sondern "nicht schlechter als" — innerhalb einer vorab definierten Toleranzgrenze. Das ist die richtige Fragestellung für eine Dosisreduktionsstudie.</w:t>
      </w:r>
    </w:p>
    <w:p>
      <w:pPr>
        <w:spacing w:before="0" w:after="40"/>
      </w:pPr>
      <w:r>
        <w:rPr>
          <w:sz w:val="20"/>
        </w:rPr>
        <w:t>Noch nicht peer-reviewed — das ist ein Limitation. Aber: Präsentation durch das international anerkannte CAPP-Konsortium (Prof. Sir John Burn, Newcastle), registrierter Trial, konsistent mit biologischem Mechanismus. Die NICE-Leitlinie wird voraussichtlich 2025/2026 darauf aufbauen.</w:t>
      </w:r>
    </w:p>
    <w:p>
      <w:pPr>
        <w:spacing w:before="0" w:after="80"/>
      </w:pPr>
    </w:p>
    <w:p>
      <w:pPr>
        <w:spacing w:before="120" w:after="40"/>
      </w:pPr>
      <w:r>
        <w:rPr>
          <w:b/>
          <w:color w:val="01696F"/>
          <w:sz w:val="20"/>
        </w:rPr>
        <w:t>UPTAKE 34,8%:</w:t>
      </w:r>
    </w:p>
    <w:p>
      <w:pPr>
        <w:spacing w:before="0" w:after="40"/>
      </w:pPr>
      <w:r>
        <w:rPr>
          <w:sz w:val="20"/>
        </w:rPr>
        <w:t>Aus den CAPP3-Baseline-Daten. Das bedeutet: Zwei von drei Lynch-Patienten nehmen kein ASS, obwohl die Evidenz seit 2020 klar ist. Das ist keine medizinische Frage mehr — das ist eine Kommunikationsaufgabe.</w:t>
      </w:r>
    </w:p>
    <w:p>
      <w:pPr>
        <w:spacing w:before="0" w:after="80"/>
      </w:pPr>
    </w:p>
    <w:p>
      <w:pPr>
        <w:spacing w:before="0" w:after="40"/>
      </w:pPr>
      <w:r>
        <w:rPr>
          <w:sz w:val="20"/>
        </w:rPr>
        <w:t>NICE-EMPFEHLUNG: 100–300mg ASS täglich ab Diagnose Lynch-Syndrom.</w:t>
      </w:r>
    </w:p>
    <w:p>
      <w:pPr>
        <w:spacing w:before="0" w:after="80"/>
      </w:pPr>
    </w:p>
    <w:p>
      <w:pPr>
        <w:spacing w:before="0" w:after="40"/>
      </w:pPr>
      <w:r>
        <w:rPr>
          <w:i/>
          <w:color w:val="5A5A5A"/>
          <w:sz w:val="20"/>
        </w:rPr>
        <w:t>→ Überleitung: Ich zeige jetzt noch ein frisches Signal aus der Pharmakologie — das ich Ihnen nicht vorenthalten möchte, das ich aber mit Vorsicht präsentiere.</w:t>
      </w:r>
    </w:p>
    <w:p>
      <w:r>
        <w:br w:type="page"/>
      </w:r>
    </w:p>
    <w:p>
      <w:pPr>
        <w:spacing w:before="280" w:after="40"/>
      </w:pPr>
      <w:r>
        <w:rPr>
          <w:b/>
          <w:color w:val="0C4E54"/>
          <w:sz w:val="26"/>
        </w:rPr>
        <w:t>F11 — GLP-1-Agonisten &amp; KRK: Signal — kein Freibrief</w:t>
      </w:r>
    </w:p>
    <w:p>
      <w:pPr>
        <w:spacing w:after="80"/>
      </w:pPr>
      <w:r>
        <w:rPr>
          <w:color w:val="CCCCCC"/>
          <w:sz w:val="14"/>
        </w:rPr>
        <w:t>────────────────────────────────────────────────────────────────────────────────</w:t>
      </w:r>
    </w:p>
    <w:p>
      <w:pPr>
        <w:spacing w:before="120" w:after="40"/>
      </w:pPr>
      <w:r>
        <w:rPr>
          <w:b/>
          <w:color w:val="01696F"/>
          <w:sz w:val="20"/>
        </w:rPr>
        <w:t>FOLIE 11 — GLP-1-AGONISTEN &amp; KRK: SIGNAL — KEIN FREIBRIEF</w:t>
      </w:r>
    </w:p>
    <w:p>
      <w:pPr>
        <w:spacing w:before="0" w:after="80"/>
      </w:pPr>
    </w:p>
    <w:p>
      <w:pPr>
        <w:spacing w:before="0" w:after="40"/>
      </w:pPr>
      <w:r>
        <w:rPr>
          <w:sz w:val="20"/>
        </w:rPr>
        <w:t>Diese Folie ist bewusst dreigeteilt: Was die Daten zeigen, was kritisch zu hinterfragen ist, und was das klinisch heute bedeutet. Ich präsentiere diese Folie nicht als Empfehlung, sondern als Diskussionsanregung.</w:t>
      </w:r>
    </w:p>
    <w:p>
      <w:pPr>
        <w:spacing w:before="0" w:after="80"/>
      </w:pPr>
    </w:p>
    <w:p>
      <w:pPr>
        <w:spacing w:before="120" w:after="40"/>
      </w:pPr>
      <w:r>
        <w:rPr>
          <w:b/>
          <w:color w:val="01696F"/>
          <w:sz w:val="20"/>
        </w:rPr>
        <w:t>WAS DIE DATEN ZEIGEN:</w:t>
      </w:r>
    </w:p>
    <w:p>
      <w:pPr>
        <w:spacing w:before="0" w:after="80"/>
      </w:pPr>
    </w:p>
    <w:p>
      <w:pPr>
        <w:spacing w:before="0" w:after="40"/>
      </w:pPr>
      <w:r>
        <w:rPr>
          <w:sz w:val="20"/>
        </w:rPr>
        <w:t>Jones et al. ASCO GI 2026:</w:t>
      </w:r>
    </w:p>
    <w:p>
      <w:pPr>
        <w:spacing w:before="0" w:after="40"/>
      </w:pPr>
      <w:r>
        <w:rPr>
          <w:sz w:val="20"/>
        </w:rPr>
        <w:t>TriNetX-Netzwerkanalyse, n=281.656 Patienten. RR 0,74 gegenüber Aspirin als aktivem Komparator. Das bedeutet: 26% niedrigeres KRK-Risiko bei GLP-1-RA-Behandlung vs. ASS-Behandlung.</w:t>
      </w:r>
    </w:p>
    <w:p>
      <w:pPr>
        <w:spacing w:before="0" w:after="40"/>
      </w:pPr>
      <w:r>
        <w:rPr>
          <w:sz w:val="20"/>
        </w:rPr>
        <w:t>Der methodische Fortschritt dieser Studie: aktiver Komparator statt unbehandelter Kontrolle. Das reduziert "Confounding by indication" — das Problem, dass GLP-1-RA-Patienten generell kranker sind (Adipositas, T2DM) und deshalb höhere Basisrisiken haben. Der Vergleich mit ASS-Patienten macht den Gruppen ähnlicher.</w:t>
      </w:r>
    </w:p>
    <w:p>
      <w:pPr>
        <w:spacing w:before="0" w:after="40"/>
      </w:pPr>
      <w:r>
        <w:rPr>
          <w:sz w:val="20"/>
        </w:rPr>
        <w:t>NNT: 2.198 — das ist eine sehr hohe NNT. Das bedeutet: Man müsste 2.198 Patienten mit GLP-1-RA behandeln, um einen KRK-Fall zu verhindern (gegenüber ASS). Das macht GLP-1-RA zur KRK-Prävention in der Gesamtbevölkerung unwirtschaftlich.</w:t>
      </w:r>
    </w:p>
    <w:p>
      <w:pPr>
        <w:spacing w:before="0" w:after="80"/>
      </w:pPr>
    </w:p>
    <w:p>
      <w:pPr>
        <w:spacing w:before="120" w:after="40"/>
      </w:pPr>
      <w:r>
        <w:rPr>
          <w:b/>
          <w:color w:val="01696F"/>
          <w:sz w:val="20"/>
        </w:rPr>
        <w:t>KRITISCHER BLICK:</w:t>
      </w:r>
    </w:p>
    <w:p>
      <w:pPr>
        <w:spacing w:before="0" w:after="80"/>
      </w:pPr>
    </w:p>
    <w:p>
      <w:pPr>
        <w:spacing w:before="0" w:after="40"/>
      </w:pPr>
      <w:r>
        <w:rPr>
          <w:sz w:val="20"/>
        </w:rPr>
        <w:t>Erstens: Retrospektiv, Datenbankanalyse, kein RCT. Beobachtungsdaten können Kausalität nicht belegen.</w:t>
      </w:r>
    </w:p>
    <w:p>
      <w:pPr>
        <w:spacing w:before="0" w:after="40"/>
      </w:pPr>
      <w:r>
        <w:rPr>
          <w:sz w:val="20"/>
        </w:rPr>
        <w:t>Zweitens: BMC Gastroenterology 2025 (Meta-Analyse, n=5.066.681): RR 2,31 für KRK bei GLP-1-RA-Einnahme gegenüber der Allgemeinbevölkerung. Klingt wie ein Widerspruch — ist aber keiner: Der Komparator ist ein anderer. GLP-1-RA-Patienten haben Adipositas und T2DM — also von Haus aus höheres KRK-Risiko als die Allgemeinbevölkerung. Der RR 2,31 zeigt das Grundrisiko dieser Patienten, nicht einen kausalen GLP-1-Effekt.</w:t>
      </w:r>
    </w:p>
    <w:p>
      <w:pPr>
        <w:spacing w:before="0" w:after="40"/>
      </w:pPr>
      <w:r>
        <w:rPr>
          <w:sz w:val="20"/>
        </w:rPr>
        <w:t>Drittens: NMA 2026 — Risikosignal bei Hochdosis-Semaglutid. Das muss weiter beobachtet werden.</w:t>
      </w:r>
    </w:p>
    <w:p>
      <w:pPr>
        <w:spacing w:before="0" w:after="80"/>
      </w:pPr>
    </w:p>
    <w:p>
      <w:pPr>
        <w:spacing w:before="120" w:after="40"/>
      </w:pPr>
      <w:r>
        <w:rPr>
          <w:b/>
          <w:color w:val="01696F"/>
          <w:sz w:val="20"/>
        </w:rPr>
        <w:t>KLINISCHE RELEVANZ HEUTE:</w:t>
      </w:r>
    </w:p>
    <w:p>
      <w:pPr>
        <w:spacing w:before="0" w:after="40"/>
      </w:pPr>
      <w:r>
        <w:rPr>
          <w:sz w:val="20"/>
        </w:rPr>
        <w:t>Kein Off-Label-Einsatz zur KRK-Prävention. Aber: Wenn bei einem Patienten ohnehin eine MASLD- oder Adipositas-Indikation besteht, ist GLP-1-RA eine sinnvolle Therapieoption — und ein möglicher präventiver Zusatznutzen ist eine interessante Beobachtung.</w:t>
      </w:r>
    </w:p>
    <w:p>
      <w:pPr>
        <w:spacing w:before="0" w:after="80"/>
      </w:pPr>
    </w:p>
    <w:p>
      <w:pPr>
        <w:spacing w:before="120" w:after="40"/>
      </w:pPr>
      <w:r>
        <w:rPr>
          <w:b/>
          <w:color w:val="01696F"/>
          <w:sz w:val="20"/>
        </w:rPr>
        <w:t>GASTROPARESE-RISIKO:</w:t>
      </w:r>
    </w:p>
    <w:p>
      <w:pPr>
        <w:spacing w:before="0" w:after="40"/>
      </w:pPr>
      <w:r>
        <w:rPr>
          <w:sz w:val="20"/>
        </w:rPr>
        <w:t>GLP-1-RA verlangsamen die Magenentleerung. Bei Koloskopievorbereitung erhöhtes Aspirationsrisiko. ASA-Empfehlung 2023: GLP-1-RA mindestens 1 Woche vor elektiver Koloskopie pausieren. Das ist klinisch relevant für unsere Endoskopie-Einheiten.</w:t>
      </w:r>
    </w:p>
    <w:p>
      <w:pPr>
        <w:spacing w:before="0" w:after="80"/>
      </w:pPr>
    </w:p>
    <w:p>
      <w:pPr>
        <w:spacing w:before="0" w:after="40"/>
      </w:pPr>
      <w:r>
        <w:rPr>
          <w:i/>
          <w:color w:val="5A5A5A"/>
          <w:sz w:val="20"/>
        </w:rPr>
        <w:t>→ Überleitung: Jetzt zu den niedrigschwelligen Tools.</w:t>
      </w:r>
    </w:p>
    <w:p>
      <w:r>
        <w:br w:type="page"/>
      </w:r>
    </w:p>
    <w:p>
      <w:pPr>
        <w:spacing w:before="280" w:after="40"/>
      </w:pPr>
      <w:r>
        <w:rPr>
          <w:b/>
          <w:color w:val="0C4E54"/>
          <w:sz w:val="26"/>
        </w:rPr>
        <w:t>F12 — Risikostratifizierung: Niedrigschwellig. Jetzt.</w:t>
      </w:r>
    </w:p>
    <w:p>
      <w:pPr>
        <w:spacing w:after="80"/>
      </w:pPr>
      <w:r>
        <w:rPr>
          <w:color w:val="CCCCCC"/>
          <w:sz w:val="14"/>
        </w:rPr>
        <w:t>────────────────────────────────────────────────────────────────────────────────</w:t>
      </w:r>
    </w:p>
    <w:p>
      <w:pPr>
        <w:spacing w:before="120" w:after="40"/>
      </w:pPr>
      <w:r>
        <w:rPr>
          <w:b/>
          <w:color w:val="01696F"/>
          <w:sz w:val="20"/>
        </w:rPr>
        <w:t>FOLIE 12 — RISIKOSTRATIFIZIERUNG: NIEDRIGSCHWELLIG. JETZT.</w:t>
      </w:r>
    </w:p>
    <w:p>
      <w:pPr>
        <w:spacing w:before="0" w:after="80"/>
      </w:pPr>
    </w:p>
    <w:p>
      <w:pPr>
        <w:spacing w:before="0" w:after="40"/>
      </w:pPr>
      <w:r>
        <w:rPr>
          <w:sz w:val="20"/>
        </w:rPr>
        <w:t>Der Darmkrebs-Risikocheck ist mein praktischer Beitrag zur Lücke, die ich im Vortrag beschrieben habe.</w:t>
      </w:r>
    </w:p>
    <w:p>
      <w:pPr>
        <w:spacing w:before="0" w:after="80"/>
      </w:pPr>
    </w:p>
    <w:p>
      <w:pPr>
        <w:spacing w:before="120" w:after="40"/>
      </w:pPr>
      <w:r>
        <w:rPr>
          <w:b/>
          <w:color w:val="01696F"/>
          <w:sz w:val="20"/>
        </w:rPr>
        <w:t>WAS DAS TOOL IST:</w:t>
      </w:r>
    </w:p>
    <w:p>
      <w:pPr>
        <w:spacing w:before="0" w:after="40"/>
      </w:pPr>
      <w:r>
        <w:rPr>
          <w:sz w:val="20"/>
        </w:rPr>
        <w:t>Ein browserbasierter Fragebogen — kein App-Download, kein Login, kostenlos. 20 Fragen, 5 Kategorien, Risikoampel in vier Stufen: grün, gelb, orange, rot. Mit direktem Kontaktpfad für orange und rote Ergebnisse.</w:t>
      </w:r>
    </w:p>
    <w:p>
      <w:pPr>
        <w:spacing w:before="0" w:after="80"/>
      </w:pPr>
    </w:p>
    <w:p>
      <w:pPr>
        <w:spacing w:before="120" w:after="40"/>
      </w:pPr>
      <w:r>
        <w:rPr>
          <w:b/>
          <w:color w:val="01696F"/>
          <w:sz w:val="20"/>
        </w:rPr>
        <w:t>DIE FÜNF KATEGORIEN:</w:t>
      </w:r>
    </w:p>
    <w:p>
      <w:pPr>
        <w:spacing w:before="0" w:after="40"/>
      </w:pPr>
      <w:r>
        <w:rPr>
          <w:sz w:val="20"/>
        </w:rPr>
        <w:t>1. Demografie: Alter, Geschlecht (Alter ≥45 und männliches Geschlecht erhöhen das Basisrisiko)</w:t>
      </w:r>
    </w:p>
    <w:p>
      <w:pPr>
        <w:spacing w:before="0" w:after="40"/>
      </w:pPr>
      <w:r>
        <w:rPr>
          <w:sz w:val="20"/>
        </w:rPr>
        <w:t>2. Familienanamnese: KRK oder Adenome bei Erstgradig-/Zweitgradigen Verwandten; Lynch-Syndrom oder FAP in der Familie</w:t>
      </w:r>
    </w:p>
    <w:p>
      <w:pPr>
        <w:spacing w:before="0" w:after="40"/>
      </w:pPr>
      <w:r>
        <w:rPr>
          <w:sz w:val="20"/>
        </w:rPr>
        <w:t>3. Vorerkrankungen: Bekannte Adenome, chronisch entzündliche Darmerkrankungen (CED), T2DM</w:t>
      </w:r>
    </w:p>
    <w:p>
      <w:pPr>
        <w:spacing w:before="0" w:after="40"/>
      </w:pPr>
      <w:r>
        <w:rPr>
          <w:sz w:val="20"/>
        </w:rPr>
        <w:t>4. Lebensstil: Rauchen, BMI/Adipositas, körperliche Inaktivität, hoher UPF-Konsum, Alkohol</w:t>
      </w:r>
    </w:p>
    <w:p>
      <w:pPr>
        <w:spacing w:before="0" w:after="40"/>
      </w:pPr>
      <w:r>
        <w:rPr>
          <w:sz w:val="20"/>
        </w:rPr>
        <w:t>5. Symptome: Blut im Stuhl, unerklärter Gewichtsverlust, veränderte Stuhlgewohnheiten</w:t>
      </w:r>
    </w:p>
    <w:p>
      <w:pPr>
        <w:spacing w:before="0" w:after="80"/>
      </w:pPr>
    </w:p>
    <w:p>
      <w:pPr>
        <w:spacing w:before="120" w:after="40"/>
      </w:pPr>
      <w:r>
        <w:rPr>
          <w:b/>
          <w:color w:val="01696F"/>
          <w:sz w:val="20"/>
        </w:rPr>
        <w:t>WIE DIE BERECHNUNG FUNKTIONIERT — FALLS JEMAND FRAGT:</w:t>
      </w:r>
    </w:p>
    <w:p>
      <w:pPr>
        <w:spacing w:before="0" w:after="40"/>
      </w:pPr>
      <w:r>
        <w:rPr>
          <w:sz w:val="20"/>
        </w:rPr>
        <w:t>Jeder Faktor hat einen Punktwert, der sich an der Stärke des relativen Risikos aus ACG Guidelines 2021 und USPSTF 2021 orientiert. Höheres relatives Risiko in der Literatur → mehr Punkte. Zum Beispiel: Lynch-Syndrom in der Familie gibt die höchste Punktzahl, weil das Lebensrisiko für KRK bei 40–80% liegt. Blut im Stuhl gibt ebenfalls hohe Punkte, weil es ein Alarmsymptom ist. Adipositas gibt moderate Punkte (OR ca. 1,3–1,5 in Metaanalysen).</w:t>
      </w:r>
    </w:p>
    <w:p>
      <w:pPr>
        <w:spacing w:before="0" w:after="40"/>
      </w:pPr>
      <w:r>
        <w:rPr>
          <w:sz w:val="20"/>
        </w:rPr>
        <w:t>Die Summe der Punkte bestimmt die Ampelfarbe: Grün (0 bis niedriger Schwellenwert), Gelb, Orange, Rot (Hochrisiko).</w:t>
      </w:r>
    </w:p>
    <w:p>
      <w:pPr>
        <w:spacing w:before="0" w:after="80"/>
      </w:pPr>
    </w:p>
    <w:p>
      <w:pPr>
        <w:spacing w:before="120" w:after="40"/>
      </w:pPr>
      <w:r>
        <w:rPr>
          <w:b/>
          <w:color w:val="01696F"/>
          <w:sz w:val="20"/>
        </w:rPr>
        <w:t>WICHTIGE EINSCHRÄNKUNG — TRANSPARENT KOMMUNIZIEREN:</w:t>
      </w:r>
    </w:p>
    <w:p>
      <w:pPr>
        <w:spacing w:before="0" w:after="40"/>
      </w:pPr>
      <w:r>
        <w:rPr>
          <w:sz w:val="20"/>
        </w:rPr>
        <w:t>Die Einzelfaktoren basieren auf ACG/USPSTF-Evidenz. Aber: Die Gewichtung und die Cutoffs für die Ampelfarben sind nicht extern validiert. Das bedeutet: Es gibt keine Studie, die überprüft hat, ob das Tool z.B. 80% der Hochrisikopatienten korrekt als "rot" identifiziert. Das ist kein validiertes klinisches Instrument wie der MELD-Score oder der Child-Pugh-Score.</w:t>
      </w:r>
    </w:p>
    <w:p>
      <w:pPr>
        <w:spacing w:before="0" w:after="40"/>
      </w:pPr>
      <w:r>
        <w:rPr>
          <w:sz w:val="20"/>
        </w:rPr>
        <w:t>Der Wert liegt woanders: in der Niedrigschwelligkeit und in der Bewusstseinsbildung. Wer "orange" bekommt, kommt eher ins Gespräch mit dem Arzt, als wenn er nie gefragt worden wäre.</w:t>
      </w:r>
    </w:p>
    <w:p>
      <w:pPr>
        <w:spacing w:before="0" w:after="80"/>
      </w:pPr>
    </w:p>
    <w:p>
      <w:pPr>
        <w:spacing w:before="0" w:after="40"/>
      </w:pPr>
      <w:r>
        <w:rPr>
          <w:sz w:val="20"/>
        </w:rPr>
        <w:t>FALLS GEFRAGT: "Welche Validierungsstudie liegt vor?"</w:t>
      </w:r>
    </w:p>
    <w:p>
      <w:pPr>
        <w:spacing w:before="0" w:after="40"/>
      </w:pPr>
      <w:r>
        <w:rPr>
          <w:sz w:val="20"/>
        </w:rPr>
        <w:t>"Keine externe Validierungsstudie. Das ist ein Pilotprojekt. Ich habe die Gewichtung an ACG/USPSTF-Kriterien orientiert — aber der Gesamtscore ist nicht validiert. Ich kommuniziere das transparent auf der Folie und im Tool selbst. Wenn jemand das Tool weiterentwickeln oder validieren möchte, freue ich mich über Zusammenarbeit."</w:t>
      </w:r>
    </w:p>
    <w:p>
      <w:pPr>
        <w:spacing w:before="0" w:after="80"/>
      </w:pPr>
    </w:p>
    <w:p>
      <w:pPr>
        <w:spacing w:before="120" w:after="40"/>
      </w:pPr>
      <w:r>
        <w:rPr>
          <w:b/>
          <w:color w:val="01696F"/>
          <w:sz w:val="20"/>
        </w:rPr>
        <w:t>EINSATZMÖGLICHKEITEN:</w:t>
      </w:r>
    </w:p>
    <w:p>
      <w:pPr>
        <w:spacing w:before="0" w:after="40"/>
      </w:pPr>
      <w:r>
        <w:rPr>
          <w:sz w:val="20"/>
        </w:rPr>
        <w:t>QR-Code im Wartezimmer, Link auf dem Befundbogen, Integration in den Vorsorgepass.</w:t>
      </w:r>
    </w:p>
    <w:p>
      <w:pPr>
        <w:spacing w:before="0" w:after="80"/>
      </w:pPr>
    </w:p>
    <w:p>
      <w:pPr>
        <w:spacing w:before="0" w:after="40"/>
      </w:pPr>
      <w:r>
        <w:rPr>
          <w:i/>
          <w:color w:val="5A5A5A"/>
          <w:sz w:val="20"/>
        </w:rPr>
        <w:t>→ Überleitung: Das ist eines von mehreren Tools in einem kleinen Ökosystem, das ich entwickelt habe.</w:t>
      </w:r>
    </w:p>
    <w:p>
      <w:r>
        <w:br w:type="page"/>
      </w:r>
    </w:p>
    <w:p>
      <w:pPr>
        <w:spacing w:before="280" w:after="40"/>
      </w:pPr>
      <w:r>
        <w:rPr>
          <w:b/>
          <w:color w:val="0C4E54"/>
          <w:sz w:val="26"/>
        </w:rPr>
        <w:t>F13 — Umsetzung: Meine Ideen</w:t>
      </w:r>
    </w:p>
    <w:p>
      <w:pPr>
        <w:spacing w:after="80"/>
      </w:pPr>
      <w:r>
        <w:rPr>
          <w:color w:val="CCCCCC"/>
          <w:sz w:val="14"/>
        </w:rPr>
        <w:t>────────────────────────────────────────────────────────────────────────────────</w:t>
      </w:r>
    </w:p>
    <w:p>
      <w:pPr>
        <w:spacing w:before="120" w:after="40"/>
      </w:pPr>
      <w:r>
        <w:rPr>
          <w:b/>
          <w:color w:val="01696F"/>
          <w:sz w:val="20"/>
        </w:rPr>
        <w:t>FOLIE 13 — UMSETZUNG: MEINE IDEEN</w:t>
      </w:r>
    </w:p>
    <w:p>
      <w:pPr>
        <w:spacing w:before="0" w:after="80"/>
      </w:pPr>
    </w:p>
    <w:p>
      <w:pPr>
        <w:spacing w:before="0" w:after="40"/>
      </w:pPr>
      <w:r>
        <w:rPr>
          <w:sz w:val="20"/>
        </w:rPr>
        <w:t>Diese Folie ist keine Werbung. Sie ist eine Einladung.</w:t>
      </w:r>
    </w:p>
    <w:p>
      <w:pPr>
        <w:spacing w:before="0" w:after="80"/>
      </w:pPr>
    </w:p>
    <w:p>
      <w:pPr>
        <w:spacing w:before="0" w:after="40"/>
      </w:pPr>
      <w:r>
        <w:rPr>
          <w:sz w:val="20"/>
        </w:rPr>
        <w:t>Ich habe eine Lücke gesehen — zwischen evidenzbasierter Prävention und ihrer Umsetzung im Praxisalltag — und versucht, Werkzeuge zu bauen, die diese Lücke ein Stück kleiner machen. Alles ist kostenlos, alles läuft ohne Installation.</w:t>
      </w:r>
    </w:p>
    <w:p>
      <w:pPr>
        <w:spacing w:before="0" w:after="80"/>
      </w:pPr>
    </w:p>
    <w:p>
      <w:pPr>
        <w:spacing w:before="0" w:after="40"/>
      </w:pPr>
      <w:r>
        <w:rPr>
          <w:sz w:val="20"/>
        </w:rPr>
        <w:t>VORSORGEPASS (kkoschny.github.io/vorsorgepass):</w:t>
      </w:r>
    </w:p>
    <w:p>
      <w:pPr>
        <w:spacing w:before="0" w:after="40"/>
      </w:pPr>
      <w:r>
        <w:rPr>
          <w:sz w:val="20"/>
        </w:rPr>
        <w:t>Persönlicher digitaler Vorsorgepass im Smartphone-Browser. Patienten können Vorsorge-Termine, Impfungen, relevante Befunde und Medikamente speichern. Integration mit QR-Codes für Endoskopiebefunde: Patient bekommt am Ende der Koloskopie einen QR-Code, scannt ihn — Befund ist sofort gespeichert, auch ohne App.</w:t>
      </w:r>
    </w:p>
    <w:p>
      <w:pPr>
        <w:spacing w:before="0" w:after="80"/>
      </w:pPr>
    </w:p>
    <w:p>
      <w:pPr>
        <w:spacing w:before="0" w:after="40"/>
      </w:pPr>
      <w:r>
        <w:rPr>
          <w:sz w:val="20"/>
        </w:rPr>
        <w:t>DARMKREBS-RISIKOCHECK (kkoschny.github.io/darmkrebscheck):</w:t>
      </w:r>
    </w:p>
    <w:p>
      <w:pPr>
        <w:spacing w:before="0" w:after="40"/>
      </w:pPr>
      <w:r>
        <w:rPr>
          <w:sz w:val="20"/>
        </w:rPr>
        <w:t>Das Tool, das ich gerade gezeigt habe. 20 Fragen, ACG/USPSTF-basiert, Risikoampel.</w:t>
      </w:r>
    </w:p>
    <w:p>
      <w:pPr>
        <w:spacing w:before="0" w:after="80"/>
      </w:pPr>
    </w:p>
    <w:p>
      <w:pPr>
        <w:spacing w:before="0" w:after="40"/>
      </w:pPr>
      <w:r>
        <w:rPr>
          <w:sz w:val="20"/>
        </w:rPr>
        <w:t>PATIENTENPLAKATE A3 (kkoschny.github.io/materialien):</w:t>
      </w:r>
    </w:p>
    <w:p>
      <w:pPr>
        <w:spacing w:before="0" w:after="40"/>
      </w:pPr>
      <w:r>
        <w:rPr>
          <w:sz w:val="20"/>
        </w:rPr>
        <w:t>Druckfertige A3-Plakate zu drei Themen: Fettleber/MASLD (mit Risikocheck), Lynch-Syndrom und ASS (mit konkreter Empfehlung), Krebs in der Familie (mit Handlungsschema). Sofort ausdruckbar, leitlinienbasiert, patientenverständlich.</w:t>
      </w:r>
    </w:p>
    <w:p>
      <w:pPr>
        <w:spacing w:before="0" w:after="80"/>
      </w:pPr>
    </w:p>
    <w:p>
      <w:pPr>
        <w:spacing w:before="0" w:after="40"/>
      </w:pPr>
      <w:r>
        <w:rPr>
          <w:sz w:val="20"/>
        </w:rPr>
        <w:t>ARZTBRIEF-TEXTBAUSTEINE (kkoschny.github.io/materialien):</w:t>
      </w:r>
    </w:p>
    <w:p>
      <w:pPr>
        <w:spacing w:before="0" w:after="40"/>
      </w:pPr>
      <w:r>
        <w:rPr>
          <w:sz w:val="20"/>
        </w:rPr>
        <w:t>Fertige, leitliniengerechte Formulierungen für drei Situationen: H. pylori-Eradikation und Nachsorge, Lynch-Syndrom und ASS-Empfehlung, Pankreatitis-Nachsorge. Kein Tabellenformat, reiner Fließtext, kopierfertig.</w:t>
      </w:r>
    </w:p>
    <w:p>
      <w:pPr>
        <w:spacing w:before="0" w:after="80"/>
      </w:pPr>
    </w:p>
    <w:p>
      <w:pPr>
        <w:spacing w:before="120" w:after="40"/>
      </w:pPr>
      <w:r>
        <w:rPr>
          <w:b/>
          <w:color w:val="01696F"/>
          <w:sz w:val="20"/>
        </w:rPr>
        <w:t>DIE GRUNDPHILOSOPHIE:</w:t>
      </w:r>
    </w:p>
    <w:p>
      <w:pPr>
        <w:spacing w:before="0" w:after="40"/>
      </w:pPr>
      <w:r>
        <w:rPr>
          <w:sz w:val="20"/>
        </w:rPr>
        <w:t>Je niedriger die Schwelle, desto mehr Patienten erreichen wir. Ein Plakat im Wartezimmer, das erklärt, was Fettleber ist und was man dagegen tun kann, erreicht mehr Patienten als eine Leitlinie, die im Intranet steht. Und ein Arztbrief-Textbaustein, den man in 30 Sekunden anpasst, stellt sicher, dass die Lynch-Patientin auch wirklich die Information über ASS bekommt.</w:t>
      </w:r>
    </w:p>
    <w:p>
      <w:r>
        <w:br w:type="page"/>
      </w:r>
    </w:p>
    <w:p>
      <w:pPr>
        <w:spacing w:before="280" w:after="40"/>
      </w:pPr>
      <w:r>
        <w:rPr>
          <w:b/>
          <w:color w:val="0C4E54"/>
          <w:sz w:val="26"/>
        </w:rPr>
        <w:t>F14 — Take-Home Messages</w:t>
      </w:r>
    </w:p>
    <w:p>
      <w:pPr>
        <w:spacing w:after="80"/>
      </w:pPr>
      <w:r>
        <w:rPr>
          <w:color w:val="CCCCCC"/>
          <w:sz w:val="14"/>
        </w:rPr>
        <w:t>────────────────────────────────────────────────────────────────────────────────</w:t>
      </w:r>
    </w:p>
    <w:p>
      <w:pPr>
        <w:spacing w:before="120" w:after="40"/>
      </w:pPr>
      <w:r>
        <w:rPr>
          <w:b/>
          <w:color w:val="01696F"/>
          <w:sz w:val="20"/>
        </w:rPr>
        <w:t>FOLIE 14 — TAKE-HOME MESSAGES</w:t>
      </w:r>
    </w:p>
    <w:p>
      <w:pPr>
        <w:spacing w:before="0" w:after="80"/>
      </w:pPr>
    </w:p>
    <w:p>
      <w:pPr>
        <w:spacing w:before="0" w:after="40"/>
      </w:pPr>
      <w:r>
        <w:rPr>
          <w:sz w:val="20"/>
        </w:rPr>
        <w:t>Sechs Messages, die ich von diesem Vortrag mitnehmen würde — und die ich Ihnen mitgeben möchte.</w:t>
      </w:r>
    </w:p>
    <w:p>
      <w:pPr>
        <w:spacing w:before="0" w:after="80"/>
      </w:pPr>
    </w:p>
    <w:p>
      <w:pPr>
        <w:spacing w:before="0" w:after="40"/>
      </w:pPr>
      <w:r>
        <w:rPr>
          <w:sz w:val="20"/>
        </w:rPr>
        <w:t>1. EO-CRC steigt — jetzt handeln:</w:t>
      </w:r>
    </w:p>
    <w:p>
      <w:pPr>
        <w:spacing w:before="0" w:after="40"/>
      </w:pPr>
      <w:r>
        <w:rPr>
          <w:sz w:val="20"/>
        </w:rPr>
        <w:t>+1,2%/Jahr in Deutschland seit 2000 (Schönberg et al. Dtsch Ärztebl Int 2023). Das System erreicht diese Patienten nicht. Risikocheck im Wartezimmer, niedrigschwellig, vor dem Arztgespräch — das ist machbar, heute.</w:t>
      </w:r>
    </w:p>
    <w:p>
      <w:pPr>
        <w:spacing w:before="0" w:after="80"/>
      </w:pPr>
    </w:p>
    <w:p>
      <w:pPr>
        <w:spacing w:before="0" w:after="40"/>
      </w:pPr>
      <w:r>
        <w:rPr>
          <w:sz w:val="20"/>
        </w:rPr>
        <w:t>2. UPF ist ein modulierbarer Risikofaktor:</w:t>
      </w:r>
    </w:p>
    <w:p>
      <w:pPr>
        <w:spacing w:before="0" w:after="40"/>
      </w:pPr>
      <w:r>
        <w:rPr>
          <w:sz w:val="20"/>
        </w:rPr>
        <w:t>HR 1,29 bei Männern (Wang BMJ 2022), RR 1,26 in der Meta-Analyse (Frontiers 2023), AOR 1,45 für Adenome bei jungen Frauen (JAMA Oncology 2025). Einfache, verständliche Patientenaufklärung — das braucht keine Studie mehr, das braucht nur 2 Minuten im Gespräch.</w:t>
      </w:r>
    </w:p>
    <w:p>
      <w:pPr>
        <w:spacing w:before="0" w:after="80"/>
      </w:pPr>
    </w:p>
    <w:p>
      <w:pPr>
        <w:spacing w:before="0" w:after="40"/>
      </w:pPr>
      <w:r>
        <w:rPr>
          <w:sz w:val="20"/>
        </w:rPr>
        <w:t>3. H. pylori: Textbausteine, Risikopatienten identifizieren:</w:t>
      </w:r>
    </w:p>
    <w:p>
      <w:pPr>
        <w:spacing w:before="0" w:after="40"/>
      </w:pPr>
      <w:r>
        <w:rPr>
          <w:sz w:val="20"/>
        </w:rPr>
        <w:t>–36% Magenkarzinom (IARC/NEJM 2026). Screen-and-Treat funktioniert. Familienangehörige mitdenken.</w:t>
      </w:r>
    </w:p>
    <w:p>
      <w:pPr>
        <w:spacing w:before="0" w:after="80"/>
      </w:pPr>
    </w:p>
    <w:p>
      <w:pPr>
        <w:spacing w:before="0" w:after="40"/>
      </w:pPr>
      <w:r>
        <w:rPr>
          <w:sz w:val="20"/>
        </w:rPr>
        <w:t>4. MASLD erkennen — FIB-4 aus dem Routinelabor:</w:t>
      </w:r>
    </w:p>
    <w:p>
      <w:pPr>
        <w:spacing w:before="0" w:after="40"/>
      </w:pPr>
      <w:r>
        <w:rPr>
          <w:sz w:val="20"/>
        </w:rPr>
        <w:t>Sensitivität 0,73 — das ist kein perfektes Tool, aber eines, das nichts extra kostet. Laborteam sensibilisieren, FIB-4 automatisch mitberechnen lassen. ~20:1 sind unterdiagnostiziert — das wird in Ihrer Praxis nicht anders sein.</w:t>
      </w:r>
    </w:p>
    <w:p>
      <w:pPr>
        <w:spacing w:before="0" w:after="80"/>
      </w:pPr>
    </w:p>
    <w:p>
      <w:pPr>
        <w:spacing w:before="0" w:after="40"/>
      </w:pPr>
      <w:r>
        <w:rPr>
          <w:sz w:val="20"/>
        </w:rPr>
        <w:t>5. Lynch-Syndrom: ASS konsequent umsetzen:</w:t>
      </w:r>
    </w:p>
    <w:p>
      <w:pPr>
        <w:spacing w:before="0" w:after="40"/>
      </w:pPr>
      <w:r>
        <w:rPr>
          <w:sz w:val="20"/>
        </w:rPr>
        <w:t>75–100mg reichen (CaPP3 Juni 2025). NNT ca. 14 per-protocol über 10 Jahre — das ist eine der besten NNTs in der Gastroenterologie. Uptake nur 34,8% — das ist Ihre Kommunikationsaufgabe.</w:t>
      </w:r>
    </w:p>
    <w:p>
      <w:pPr>
        <w:spacing w:before="0" w:after="80"/>
      </w:pPr>
    </w:p>
    <w:p>
      <w:pPr>
        <w:spacing w:before="0" w:after="40"/>
      </w:pPr>
      <w:r>
        <w:rPr>
          <w:sz w:val="20"/>
        </w:rPr>
        <w:t>6. Nutzen, was wir haben:</w:t>
      </w:r>
    </w:p>
    <w:p>
      <w:pPr>
        <w:spacing w:before="0" w:after="40"/>
      </w:pPr>
      <w:r>
        <w:rPr>
          <w:sz w:val="20"/>
        </w:rPr>
        <w:t>KI, digitale Tools, Social Media — nicht als Feind, sondern als Kanal. Ein QR-Code auf dem Befundbogen, ein Plakat im Wartezimmer, ein Textbaustein im Arztbrief — das ist Prävention, die skaliert.</w:t>
      </w:r>
    </w:p>
    <w:p>
      <w:pPr>
        <w:spacing w:before="0" w:after="80"/>
      </w:pPr>
    </w:p>
    <w:p>
      <w:pPr>
        <w:spacing w:before="120" w:after="40"/>
      </w:pPr>
      <w:r>
        <w:rPr>
          <w:b/>
          <w:color w:val="01696F"/>
          <w:sz w:val="20"/>
        </w:rPr>
        <w:t>DER ROTE FADEN IN EINEM SATZ:</w:t>
      </w:r>
    </w:p>
    <w:p>
      <w:pPr>
        <w:spacing w:before="0" w:after="40"/>
      </w:pPr>
      <w:r>
        <w:rPr>
          <w:sz w:val="20"/>
        </w:rPr>
        <w:t>Wir haben alle Werkzeuge. Wir müssen aufhören zu warten, bis der Patient mit Symptomen kommt — und anfangen, ihn zu finden, bevor die Symptome kommen.</w:t>
      </w:r>
    </w:p>
    <w:p>
      <w:pPr>
        <w:spacing w:before="0" w:after="80"/>
      </w:pPr>
    </w:p>
    <w:p>
      <w:pPr>
        <w:spacing w:before="0" w:after="40"/>
      </w:pPr>
      <w:r>
        <w:rPr>
          <w:sz w:val="20"/>
        </w:rPr>
        <w:t>Prävention beginnt heute — mit dem nächsten Gespräch.</w:t>
      </w:r>
    </w:p>
    <w:p>
      <w:r>
        <w:br w:type="page"/>
      </w:r>
    </w:p>
    <w:p>
      <w:pPr>
        <w:spacing w:before="280" w:after="40"/>
      </w:pPr>
      <w:r>
        <w:rPr>
          <w:b/>
          <w:color w:val="0C4E54"/>
          <w:sz w:val="26"/>
        </w:rPr>
        <w:t>F15 — Vielen Dank</w:t>
      </w:r>
    </w:p>
    <w:p>
      <w:pPr>
        <w:spacing w:after="80"/>
      </w:pPr>
      <w:r>
        <w:rPr>
          <w:color w:val="CCCCCC"/>
          <w:sz w:val="14"/>
        </w:rPr>
        <w:t>────────────────────────────────────────────────────────────────────────────────</w:t>
      </w:r>
    </w:p>
    <w:p>
      <w:pPr>
        <w:spacing w:before="120" w:after="40"/>
      </w:pPr>
      <w:r>
        <w:rPr>
          <w:b/>
          <w:color w:val="01696F"/>
          <w:sz w:val="20"/>
        </w:rPr>
        <w:t>FOLIE 15 — VIELEN DANK</w:t>
      </w:r>
    </w:p>
    <w:p>
      <w:pPr>
        <w:spacing w:before="0" w:after="80"/>
      </w:pPr>
    </w:p>
    <w:p>
      <w:pPr>
        <w:spacing w:before="0" w:after="40"/>
      </w:pPr>
      <w:r>
        <w:rPr>
          <w:sz w:val="20"/>
        </w:rPr>
        <w:t>Herzlichen Dank für Ihre Aufmerksamkeit.</w:t>
      </w:r>
    </w:p>
    <w:p>
      <w:pPr>
        <w:spacing w:before="0" w:after="80"/>
      </w:pPr>
    </w:p>
    <w:p>
      <w:pPr>
        <w:spacing w:before="0" w:after="40"/>
      </w:pPr>
      <w:r>
        <w:rPr>
          <w:sz w:val="20"/>
        </w:rPr>
        <w:t>Ich freue mich sehr auf Ihre Fragen und auf die Diskussion — gerade von einem so erfahrenen Publikum wie diesem ist das Feedback für mich sehr wertvoll.</w:t>
      </w:r>
    </w:p>
    <w:p>
      <w:pPr>
        <w:spacing w:before="0" w:after="80"/>
      </w:pPr>
    </w:p>
    <w:p>
      <w:pPr>
        <w:spacing w:before="0" w:after="40"/>
      </w:pPr>
      <w:r>
        <w:rPr>
          <w:sz w:val="20"/>
        </w:rPr>
        <w:t>Besonders interessiert mich: Welche dieser Maßnahmen oder Tools erscheinen Ihnen in Ihrem Alltag — in der Klinik oder in der niedergelassenen Gastroenterologie — unmittelbar umsetzbar? Und wo sehen Sie die größten Hürden?</w:t>
      </w:r>
    </w:p>
    <w:p>
      <w:pPr>
        <w:spacing w:before="0" w:after="80"/>
      </w:pPr>
    </w:p>
    <w:p>
      <w:pPr>
        <w:spacing w:before="0" w:after="40"/>
      </w:pPr>
      <w:r>
        <w:rPr>
          <w:sz w:val="20"/>
        </w:rPr>
        <w:t>Alle Materialien — Plakate, Textbausteine, Risikocheck, Vorsorgepass — sind erreichbar unter:</w:t>
      </w:r>
    </w:p>
    <w:p>
      <w:pPr>
        <w:spacing w:before="0" w:after="40"/>
      </w:pPr>
      <w:r>
        <w:rPr>
          <w:sz w:val="20"/>
        </w:rPr>
        <w:t>kkoschny.github.io/materialien</w:t>
      </w:r>
    </w:p>
    <w:p>
      <w:pPr>
        <w:spacing w:before="0" w:after="80"/>
      </w:pPr>
    </w:p>
    <w:p>
      <w:pPr>
        <w:spacing w:before="0" w:after="40"/>
      </w:pPr>
      <w:r>
        <w:rPr>
          <w:sz w:val="20"/>
        </w:rPr>
        <w:t>Oder direkt über den QR-Code auf dieser Folie.</w:t>
      </w:r>
    </w:p>
    <w:p>
      <w:pPr>
        <w:spacing w:before="0" w:after="80"/>
      </w:pPr>
    </w:p>
    <w:p>
      <w:pPr>
        <w:spacing w:before="120" w:after="40"/>
      </w:pPr>
      <w:r>
        <w:rPr>
          <w:b/>
          <w:color w:val="01696F"/>
          <w:sz w:val="20"/>
        </w:rPr>
        <w:t>VORBEREITUNG AUF MÖGLICHE FRAGEN:</w:t>
      </w:r>
    </w:p>
    <w:p>
      <w:pPr>
        <w:spacing w:before="0" w:after="80"/>
      </w:pPr>
    </w:p>
    <w:p>
      <w:pPr>
        <w:spacing w:before="0" w:after="40"/>
      </w:pPr>
      <w:r>
        <w:rPr>
          <w:sz w:val="20"/>
        </w:rPr>
        <w:t>"Warum zeigen Sie den Risikocheck, wenn er nicht validiert ist?"</w:t>
      </w:r>
    </w:p>
    <w:p>
      <w:pPr>
        <w:spacing w:before="0" w:after="40"/>
      </w:pPr>
      <w:r>
        <w:rPr>
          <w:i/>
          <w:color w:val="5A5A5A"/>
          <w:sz w:val="20"/>
        </w:rPr>
        <w:t>→ Transparenz: Ich zeige ihn als Pilotprojekt. Die Einzelfaktoren sind evidenzbasiert. Die Kombination ist nicht extern validiert. Der Wert liegt in der Niedrigschwelligkeit, nicht in der Diagnosegenauigkeit.</w:t>
      </w:r>
    </w:p>
    <w:p>
      <w:pPr>
        <w:spacing w:before="0" w:after="80"/>
      </w:pPr>
    </w:p>
    <w:p>
      <w:pPr>
        <w:spacing w:before="0" w:after="40"/>
      </w:pPr>
      <w:r>
        <w:rPr>
          <w:sz w:val="20"/>
        </w:rPr>
        <w:t>"Sind die GLP-1-Daten nicht zu widersprüchlich für eine öffentliche Präsentation?"</w:t>
      </w:r>
    </w:p>
    <w:p>
      <w:pPr>
        <w:spacing w:before="0" w:after="40"/>
      </w:pPr>
      <w:r>
        <w:rPr>
          <w:i/>
          <w:color w:val="5A5A5A"/>
          <w:sz w:val="20"/>
        </w:rPr>
        <w:t>→ Nein — genau weil sie widersprüchlich sind, ist es wichtig, sie zu zeigen und einzuordnen. Das ist wissenschaftliche Kommunikation: Signal benennen, Grenzen benennen, Handlungskonsequenz benennen.</w:t>
      </w:r>
    </w:p>
    <w:p>
      <w:pPr>
        <w:spacing w:before="0" w:after="80"/>
      </w:pPr>
    </w:p>
    <w:p>
      <w:pPr>
        <w:spacing w:before="0" w:after="40"/>
      </w:pPr>
      <w:r>
        <w:rPr>
          <w:sz w:val="20"/>
        </w:rPr>
        <w:t>"Die NordICC-Daten relativieren doch die Koloskopie?"</w:t>
      </w:r>
    </w:p>
    <w:p>
      <w:pPr>
        <w:spacing w:before="0" w:after="40"/>
      </w:pPr>
      <w:r>
        <w:rPr>
          <w:i/>
          <w:color w:val="5A5A5A"/>
          <w:sz w:val="20"/>
        </w:rPr>
        <w:t>→ Nein. NordICC zeigt –50% Mortalität per-protocol — das ist ein starker Effekt. Das ITT-Ergebnis (–18%) ist ein Teilnahme-Problem, kein Koloskopie-Problem. Die Botschaft ist: Koloskopie funktioniert, wir müssen die Teilnahme erhöhen.</w:t>
      </w:r>
    </w:p>
    <w:p>
      <w:pPr>
        <w:spacing w:before="0" w:after="80"/>
      </w:pPr>
    </w:p>
    <w:p>
      <w:pPr>
        <w:spacing w:before="0" w:after="40"/>
      </w:pPr>
      <w:r>
        <w:rPr>
          <w:sz w:val="20"/>
        </w:rPr>
        <w:t>Kontakt: Kristin Koschny · Gastroenterologie · Klinikum Neumarkt i.d.OPf. · 09181 420-0</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