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Hereditäre Keimbahnmutationen – Textbausteine</w:t>
      </w:r>
    </w:p>
    <w:p>
      <w:pPr>
        <w:spacing w:before="0" w:after="200"/>
        <w:jc w:val="center"/>
      </w:pPr>
      <w:r>
        <w:rPr>
          <w:b w:val="0"/>
          <w:i/>
          <w:sz w:val="20"/>
        </w:rPr>
        <w:t>Dr. med. K. Koschny · Gastroenterologie · GFGB 2026</w:t>
      </w:r>
    </w:p>
    <w:p>
      <w:pPr>
        <w:spacing w:before="80" w:after="80"/>
      </w:pPr>
      <w:r>
        <w:rPr>
          <w:b/>
          <w:i w:val="0"/>
          <w:sz w:val="24"/>
        </w:rPr>
        <w:t>Baustein 1 – Zufallsbefund ≥10 Adenome in der Koloskopie</w:t>
      </w:r>
    </w:p>
    <w:p>
      <w:pPr>
        <w:spacing w:before="0" w:after="200"/>
      </w:pPr>
      <w:r>
        <w:rPr>
          <w:b w:val="0"/>
          <w:i w:val="0"/>
          <w:sz w:val="22"/>
        </w:rPr>
        <w:t>Bei Nachweis von ≥10 Adenomen in der Koloskopie empfehlen wir eine humangenetische Beratung zum Ausschluss eines hereditären Polyposis-Syndroms (u.a. attenuierte FAP, MUTYH-assoziierte Polyposis). Dies gilt auch bei zufälligem Befund im Rahmen der Vorsorgekoloskopie.</w:t>
      </w:r>
    </w:p>
    <w:p>
      <w:pPr>
        <w:spacing w:before="80" w:after="80"/>
      </w:pPr>
      <w:r>
        <w:rPr>
          <w:b w:val="0"/>
          <w:i w:val="0"/>
          <w:color w:val="BBBBBB"/>
          <w:sz w:val="18"/>
        </w:rPr>
        <w:t>───────────────────────────────────────────────────────</w:t>
      </w:r>
    </w:p>
    <w:p>
      <w:pPr>
        <w:spacing w:before="80" w:after="80"/>
      </w:pPr>
      <w:r>
        <w:rPr>
          <w:b/>
          <w:i w:val="0"/>
          <w:sz w:val="24"/>
        </w:rPr>
        <w:t>Baustein 2 – Diffuses Magenkarzinom (Verdacht HDGC / CDH1-Mutation)</w:t>
      </w:r>
    </w:p>
    <w:p>
      <w:pPr>
        <w:spacing w:before="0" w:after="200"/>
      </w:pPr>
      <w:r>
        <w:rPr>
          <w:b w:val="0"/>
          <w:i w:val="0"/>
          <w:sz w:val="22"/>
        </w:rPr>
        <w:t>Bei dem Patienten / der Patientin wurde ein Magenkarzinom vom diffusen Typ (Siegelringzellkarzinom / lobuläres Wachstumsmuster) diagnostiziert. Bei Assoziation mit einer CDH1-Keimbahnmutation empfehlen wir eine ausführliche Familienanamnese hinsichtlich diffuser Magenkarzinome und lobulärer Mammakarzinome. Bei Erfüllung der IGCLC-Kriterien (u.a. ≥2 Fälle von diffusem Magenkarzinom in der Familie, Erstdiagnose vor dem 50. Lebensjahr, oder diffuses Magenkarzinom vor dem 35. Lebensjahr) empfehlen wir eine humangenetische Beratung und ggf. CDH1-Keimbahndiagnostik.</w:t>
      </w:r>
    </w:p>
    <w:p>
      <w:pPr>
        <w:spacing w:before="80" w:after="80"/>
      </w:pPr>
      <w:r>
        <w:rPr>
          <w:b w:val="0"/>
          <w:i w:val="0"/>
          <w:color w:val="BBBBBB"/>
          <w:sz w:val="18"/>
        </w:rPr>
        <w:t>───────────────────────────────────────────────────────</w:t>
      </w:r>
    </w:p>
    <w:p>
      <w:pPr>
        <w:spacing w:before="80" w:after="120"/>
      </w:pPr>
      <w:r>
        <w:rPr>
          <w:b/>
          <w:i w:val="0"/>
          <w:sz w:val="24"/>
        </w:rPr>
        <w:t>Baustein 3 – Hereditäres Pankreaskarzinom (BRCA1/2 · PALB2 · ATM)</w:t>
      </w:r>
    </w:p>
    <w:p>
      <w:pPr>
        <w:spacing w:before="80" w:after="40"/>
      </w:pPr>
      <w:r>
        <w:rPr>
          <w:b/>
          <w:i w:val="0"/>
          <w:sz w:val="22"/>
        </w:rPr>
        <w:t>BRCA1/2-Mutation</w:t>
      </w:r>
    </w:p>
    <w:p>
      <w:pPr>
        <w:spacing w:before="0" w:after="40"/>
      </w:pPr>
      <w:r>
        <w:rPr>
          <w:b w:val="0"/>
          <w:i w:val="0"/>
          <w:sz w:val="22"/>
        </w:rPr>
        <w:t>Bei dem Patienten / der Patientin wurde eine BRCA1/2-Keimbahnmutation nachgewiesen. Wir empfehlen eine Vorstellung in einer humangenetischen Beratungsstelle zur Familienberatung und Testung erstgradig Verwandter. Therapeutisch ist die Mutation relevant: Bei metastasiertem BRCA1/2-mutiertem Pankreaskarzinom ist eine Therapie mit PARP-Inhibitoren (Olaparib) zugelassen; wir empfehlen eine Besprechung im interdisziplinären Tumorboard.</w:t>
      </w:r>
    </w:p>
    <w:p>
      <w:pPr>
        <w:spacing w:before="0" w:after="160"/>
      </w:pPr>
      <w:r>
        <w:rPr>
          <w:b w:val="0"/>
          <w:i w:val="0"/>
          <w:sz w:val="22"/>
        </w:rPr>
        <w:t>Zur Früherkennung empfehlen wir bei Mutationsträgern mit positiver Pankreas-Familienanamnese eine Surveillance mittels Endosonographie und/oder MRT-MRCP ab dem 50. Lebensjahr (bzw. 10 Jahre vor dem jüngsten Erkrankungsalter in der Familie) gemäß CAPS-Konsortium-Leitlinien.</w:t>
      </w:r>
    </w:p>
    <w:p>
      <w:pPr>
        <w:spacing w:before="80" w:after="40"/>
      </w:pPr>
      <w:r>
        <w:rPr>
          <w:b/>
          <w:i w:val="0"/>
          <w:sz w:val="22"/>
        </w:rPr>
        <w:t>PALB2-Mutation</w:t>
      </w:r>
    </w:p>
    <w:p>
      <w:pPr>
        <w:spacing w:before="0" w:after="160"/>
      </w:pPr>
      <w:r>
        <w:rPr>
          <w:b w:val="0"/>
          <w:i w:val="0"/>
          <w:sz w:val="22"/>
        </w:rPr>
        <w:t>Bei dem Patienten / der Patientin wurde eine PALB2-Keimbahnmutation nachgewiesen. PALB2 ist nach BRCA2 der zweithäufigste hereditäre Risikofaktor für das Pankreaskarzinom und ebenfalls mit einem erhöhten Mammakarzinomrisiko assoziiert. Wir empfehlen eine humangenetische Beratung und Testung erstgradig Verwandter sowie eine Surveillance wie bei BRCA2 (s.o.).</w:t>
      </w:r>
    </w:p>
    <w:p>
      <w:pPr>
        <w:spacing w:before="80" w:after="40"/>
      </w:pPr>
      <w:r>
        <w:rPr>
          <w:b/>
          <w:i w:val="0"/>
          <w:sz w:val="22"/>
        </w:rPr>
        <w:t>ATM-Mutation</w:t>
      </w:r>
    </w:p>
    <w:p>
      <w:pPr>
        <w:spacing w:before="0" w:after="120"/>
      </w:pPr>
      <w:r>
        <w:rPr>
          <w:b w:val="0"/>
          <w:i w:val="0"/>
          <w:sz w:val="22"/>
        </w:rPr>
        <w:t>Bei dem Patienten / der Patientin wurde eine heterozygote ATM-Keimbahnmutation nachgewiesen. ATM-Mutationen sind mit einem 2–5-fach erhöhten Pankreaskarzinomrisiko assoziiert. Wir empfehlen eine humangenetische Beratung. Bei positiver Familienanamnese für Pankreaskarzinom empfehlen wir eine Surveillance analog den CAPS-Empfehlungen.</w:t>
      </w:r>
    </w:p>
    <w:p>
      <w:pPr>
        <w:spacing w:before="0" w:after="200"/>
      </w:pPr>
      <w:r>
        <w:rPr>
          <w:b w:val="0"/>
          <w:i/>
          <w:sz w:val="18"/>
        </w:rPr>
        <w:t>Surveillance-Empfehlungen basieren auf den CAPS-Konsortium-Leitlinien (Gastroenterology 2020). Individuelle Risikostratifizierung in Absprache mit einem spezialisierten Zentrum empfohlen.</w:t>
      </w:r>
    </w:p>
    <w:p>
      <w:pPr>
        <w:spacing w:before="80" w:after="80"/>
      </w:pPr>
      <w:r>
        <w:rPr>
          <w:b w:val="0"/>
          <w:i w:val="0"/>
          <w:color w:val="BBBBBB"/>
          <w:sz w:val="18"/>
        </w:rPr>
        <w:t>───────────────────────────────────────────────────────</w:t>
      </w:r>
    </w:p>
    <w:p>
      <w:pPr>
        <w:spacing w:before="80" w:after="80"/>
        <w:jc w:val="center"/>
      </w:pPr>
      <w:r>
        <w:rPr>
          <w:b w:val="0"/>
          <w:i/>
          <w:sz w:val="18"/>
        </w:rPr>
        <w:t>Dr. med. Kristin Koschny · Assistenzärztin Gastroenterologie · GFGB-Jahrestagung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