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1696F" w:val="clear"/>
        <w:spacing w:after="60" w:before="400"/>
        <w:jc w:val="center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Pankreatitis – Nachsorge-Textbausteine</w:t>
      </w:r>
    </w:p>
    <w:p>
      <w:pPr>
        <w:shd w:fill="01696F" w:val="clear"/>
        <w:spacing w:after="60" w:before="0"/>
        <w:jc w:val="center"/>
      </w:pPr>
      <w:r>
        <w:rPr>
          <w:rFonts w:ascii="Calibri" w:cs="Calibri" w:eastAsia="Calibri" w:hAnsi="Calibri"/>
          <w:i/>
          <w:iCs/>
          <w:color w:val="CCE9EA"/>
          <w:sz w:val="22"/>
          <w:szCs w:val="22"/>
        </w:rPr>
        <w:t xml:space="preserve">Leitliniengerechte Formulierungen für Arztbrief und Endoskopiebefund</w:t>
      </w:r>
    </w:p>
    <w:p>
      <w:pPr>
        <w:shd w:fill="01696F" w:val="clear"/>
        <w:spacing w:after="80" w:before="0"/>
        <w:jc w:val="center"/>
      </w:pPr>
      <w:r>
        <w:rPr>
          <w:rFonts w:ascii="Calibri" w:cs="Calibri" w:eastAsia="Calibri" w:hAnsi="Calibri"/>
          <w:color w:val="CCE9EA"/>
          <w:sz w:val="20"/>
          <w:szCs w:val="20"/>
        </w:rPr>
        <w:t xml:space="preserve">DGVS S3-Leitlinie 2024 · Stand: April 2026 · Dr. med. Kristin Koschny</w:t>
      </w:r>
    </w:p>
    <w:p>
      <w:pPr>
        <w:spacing w:after="0" w:before="240"/>
      </w:pP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Die DGVS-Leitlinie 2024 empfiehlt eine strukturierte Nachsorge nach Pankreatitis – je nach Schweregrad, Ätiologie und Verlauf.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In der Praxis wird diese Empfehlung häufig nicht systematisch umgesetzt.</w:t>
      </w:r>
    </w:p>
    <w:p>
      <w:pPr>
        <w:spacing w:after="80" w:before="80"/>
      </w:pPr>
      <w:r>
        <w:rPr>
          <w:rFonts w:ascii="Calibri" w:cs="Calibri" w:eastAsia="Calibri" w:hAnsi="Calibri"/>
          <w:color w:val="28251D"/>
          <w:sz w:val="22"/>
          <w:szCs w:val="22"/>
        </w:rPr>
        <w:t xml:space="preserve">Die folgenden Textbausteine erleichtern die leitliniengerechte Dokumentation.</w:t>
      </w:r>
    </w:p>
    <w:p>
      <w:pPr>
        <w:spacing w:after="0" w:before="12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  <w:ind w:left="0" w:right="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Schwere / nekrotisierende Pankreatitis</w:t>
      </w:r>
    </w:p>
    <w:p>
      <w:pPr>
        <w:spacing w:after="0" w:before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474D"/>
          <w:sz w:val="22"/>
          <w:szCs w:val="22"/>
        </w:rPr>
        <w:t xml:space="preserve">Entlassungsbrief / Arztbrief: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A7101" w:sz="2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Im Rahmen des stationären Aufenthalts bestand eine schwere/nekrotisierende Pankreatitis (Schweregrad: __).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Gemäß DGVS-S3-Leitlinie 2024 (Empfehlung 10.1) empfehle ich eine strukturierte gastroenterologische Nachsorge: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Kontrolltermin nach 4–6 Wochen (klinisch, Labor, Bildgebung)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Jährliche Verlaufskontrolle für mindestens 5 Jahre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Überwachung auf exokrine Insuffizienz (Elastase im Stuhl), endokrine Insuffizienz (HbA1c, Nüchternglukose)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   und Neoplasieentwicklung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Bei Alkohol-induzierter Pankreatitis: Alkoholkarenz und strukturierte Suchtberatung dringend empfohlen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   (RCT-Evidenz: Rezidivreduktion um 50 %)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single" w:color="DA7101" w:sz="2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Bitte Vorstellung in gastroenterologischer Ambulanz zeitnah veranlassen.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  <w:ind w:left="0" w:right="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Kryptogene Pankreatitis &gt;40 Jahre</w:t>
      </w:r>
    </w:p>
    <w:p>
      <w:pPr>
        <w:spacing w:after="0" w:before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474D"/>
          <w:sz w:val="22"/>
          <w:szCs w:val="22"/>
        </w:rPr>
        <w:t xml:space="preserve">Endoskopiebefund / Arztbrief: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A7101" w:sz="2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Nachweis einer Pankreatitis ungeklärter Ätiologie bei einem Patienten &gt;40 Jahren.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Gemäß DGVS-S3-Leitlinie 2024 besteht bei kryptogener Pankreatitis und Alter &gt;40 Jahren eine Indikation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zur erweiterten Abklärung und strukturierten Bildgebungs-Nachsorge zum Ausschluss einer Neoplasie (IPMN, PDAC).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Empfehlung: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EUS oder MRT/MRCP (bevorzugte Modalität) zum Ausschluss von Pankreaszysten (IPMN) und Raumforderungen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CA19-9 (cave: eingeschränkte Spezifität bei Pankreatitis)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Bei unauffälligem Befund: jährliche Bildgebung für 2 Jahre, dann reevaluieren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Bei Nachweis von Pankreaszysten: Nachsorge gemäß europäischer IPMN-Leitlinie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   (European Study Group on Cystic Tumors of the Pancreas)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single" w:color="DA7101" w:sz="2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Malignitatsverdacht: zeitnahe Vorstellung im zertifizierten Pankreaszentrum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  <w:ind w:left="0" w:right="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Alkohol-induzierte Pankreatitis (jeder Schweregrad)</w:t>
      </w:r>
    </w:p>
    <w:p>
      <w:pPr>
        <w:spacing w:after="0" w:before="1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B474D"/>
          <w:sz w:val="22"/>
          <w:szCs w:val="22"/>
        </w:rPr>
        <w:t xml:space="preserve">Arztbrief: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A7101" w:sz="2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Alkohol-induzierte Pankreatitis, Schweregrad: __.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Eine randomisierte Studie (120 Patienten) zeigt, dass strukturierte Nachsorge mit Alkoholberatung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das Rezidivrisiko innerhalb von 24 Monaten von 21 % auf 8 % senkt (p=0,04; DGVS S3-Leitlinie 2024,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Empfehlung 10.1).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Empfehlung: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Dringende Alkoholkarenz – vollständige Abstinenz ist der einzige gesicherte Schutz vor Rezidiv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   und Progression zur chronischen Pankreatitis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Überweisung zu Suchtmedizin / strukturierter Alkoholberatung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nil" w:color="FFFFFF" w:sz="0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Nachsorge in gastroenterologischer Ambulanz nach 4–6 Wochen</w:t>
            </w:r>
          </w:p>
        </w:tc>
      </w:tr>
      <w:tr>
        <w:tc>
          <w:tcPr>
            <w:tcW w:type="dxa" w:w="9638"/>
            <w:tcBorders>
              <w:top w:val="nil" w:color="FFFFFF" w:sz="0"/>
              <w:left w:val="thick" w:color="DA7101" w:sz="14"/>
              <w:bottom w:val="single" w:color="DA7101" w:sz="2"/>
              <w:right w:val="single" w:color="DA7101" w:sz="2"/>
            </w:tcBorders>
            <w:shd w:fill="FFF4E5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8251D"/>
                <w:sz w:val="20"/>
                <w:szCs w:val="20"/>
              </w:rPr>
              <w:t xml:space="preserve">– Bei Rezidiv: erneute vollständige Abklärung inkl. Bildgebung</w:t>
            </w:r>
          </w:p>
        </w:tc>
      </w:tr>
    </w:tbl>
    <w:p>
      <w:pPr>
        <w:spacing w:after="0" w:before="160"/>
      </w:pPr>
    </w:p>
    <w:p>
      <w:pPr>
        <w:pBdr>
          <w:bottom w:val="single" w:color="D4D1CA" w:sz="6"/>
        </w:pBdr>
        <w:spacing w:after="120" w:before="120"/>
      </w:pPr>
    </w:p>
    <w:p>
      <w:pPr>
        <w:shd w:fill="01696F" w:val="clear"/>
        <w:spacing w:after="0" w:before="340"/>
        <w:ind w:left="0" w:right="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Nachsorge-Übersicht nach Schweregrad</w:t>
      </w:r>
    </w:p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400"/>
        <w:gridCol w:w="3038"/>
      </w:tblGrid>
      <w:tr>
        <w:tc>
          <w:tcPr>
            <w:tcW w:type="dxa" w:w="22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Konstellation</w:t>
            </w:r>
          </w:p>
        </w:tc>
        <w:tc>
          <w:tcPr>
            <w:tcW w:type="dxa" w:w="20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Nachsorgeintervall</w:t>
            </w:r>
          </w:p>
        </w:tc>
        <w:tc>
          <w:tcPr>
            <w:tcW w:type="dxa" w:w="2400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Bildgebung</w:t>
            </w:r>
          </w:p>
        </w:tc>
        <w:tc>
          <w:tcPr>
            <w:tcW w:type="dxa" w:w="3038"/>
            <w:tcBorders>
              <w:top w:val="single" w:color="1B474D" w:sz="2"/>
              <w:left w:val="single" w:color="1B474D" w:sz="2"/>
              <w:bottom w:val="single" w:color="1B474D" w:sz="2"/>
              <w:right w:val="single" w:color="1B474D" w:sz="2"/>
            </w:tcBorders>
            <w:shd w:fill="0169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Besonderheiten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Milde AP, klare Ätiologie, beschwerdefrei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Keine routinemäßige Nachsorge nötig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Nur bei klinischem Verdacht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Nicht-milde AP / Nekrose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4–6 Wochen, dann jährlich ≥5 Jahre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CT/MRT bei Komplikationen; FU-Bildgebung jährlich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Exokrine + endokrine Funktion prüfen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Kryptogene AP &gt;40J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4–6 Wochen, dann jährlich 2 Jahre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MRT/MRCP oder EUS obligat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CA19-9; IPMN-Screening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Alkohol-induzierte AP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4–6 Wochen, bei Rezidiv sofort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Bildgebung bei Komplikationen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Suchtberatung, Alkoholkarenz</w:t>
            </w:r>
          </w:p>
        </w:tc>
      </w:tr>
      <w:tr>
        <w:tc>
          <w:tcPr>
            <w:tcW w:type="dxa" w:w="22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Heredit. Pankreatitis (PRSS1)</w:t>
            </w:r>
          </w:p>
        </w:tc>
        <w:tc>
          <w:tcPr>
            <w:tcW w:type="dxa" w:w="20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Jährlich ab 40 Jahren</w:t>
            </w:r>
          </w:p>
        </w:tc>
        <w:tc>
          <w:tcPr>
            <w:tcW w:type="dxa" w:w="2400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MRT/MRCP oder EUS</w:t>
            </w:r>
          </w:p>
        </w:tc>
        <w:tc>
          <w:tcPr>
            <w:tcW w:type="dxa" w:w="3038"/>
            <w:tcBorders>
              <w:top w:val="single" w:color="D4D1CA" w:sz="1"/>
              <w:left w:val="single" w:color="D4D1CA" w:sz="1"/>
              <w:bottom w:val="single" w:color="D4D1CA" w:sz="1"/>
              <w:right w:val="single" w:color="D4D1CA" w:sz="1"/>
            </w:tcBorders>
            <w:shd w:fill="EEF7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8251D"/>
                <w:sz w:val="19"/>
                <w:szCs w:val="19"/>
              </w:rPr>
              <w:t xml:space="preserve">Spezialisiertes Zentrum; KRK-Risiko 44% kumulativ bis 70J</w:t>
            </w:r>
          </w:p>
        </w:tc>
      </w:tr>
    </w:tbl>
    <w:p>
      <w:pPr>
        <w:spacing w:after="0" w:before="80"/>
      </w:pP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7A7974"/>
          <w:sz w:val="18"/>
          <w:szCs w:val="18"/>
        </w:rPr>
        <w:t xml:space="preserve">AP = akute Pankreatitis · IPMN = intraduktale papillär-muzinöse Neoplasie · PDAC = duktales Pankreasadenokarzinom</w:t>
      </w:r>
    </w:p>
    <w:p>
      <w:pPr>
        <w:spacing w:after="0" w:before="200"/>
      </w:pPr>
    </w:p>
    <w:p>
      <w:pPr>
        <w:spacing w:before="80"/>
        <w:jc w:val="center"/>
      </w:pPr>
      <w:r>
        <w:rPr>
          <w:rFonts w:ascii="Calibri" w:cs="Calibri" w:eastAsia="Calibri" w:hAnsi="Calibri"/>
          <w:i/>
          <w:iCs/>
          <w:color w:val="7A7974"/>
          <w:sz w:val="18"/>
          <w:szCs w:val="18"/>
        </w:rPr>
        <w:t xml:space="preserve">Quelle: DGVS S3-Leitlinie Pankreatitis 2024 · https://www.dgvs.de/leitlinien/pankreatitis</w:t>
      </w:r>
    </w:p>
    <w:sectPr>
      <w:headerReference w:type="default" r:id="rId7"/>
      <w:footerReference w:type="default" r:id="rId8"/>
      <w:pgSz w:w="11906" w:h="16838" w:orient="portrait"/>
      <w:pgMar w:top="1400" w:right="1134" w:bottom="14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1CA" w:sz="4"/>
      </w:pBd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Dr. med. Kristin Koschny · Gastroenterologie · Stand: April 2026 · Quelle: DGVS S3-Leitlinie Pankreatitis 2024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7A7974"/>
        <w:sz w:val="16"/>
        <w:szCs w:val="16"/>
      </w:rPr>
      <w:t xml:space="preserve">Pankreatitis – Nachsorge-Textbausteine · Dr. K. Koschny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2026-04-04T13:21:43.174Z</dcterms:created>
  <dcterms:modified xsi:type="dcterms:W3CDTF">2026-04-04T13:21:43.174Z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