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Calibri" w:cs="Calibri" w:eastAsia="Calibri" w:hAnsi="Calibri"/>
          <w:b/>
          <w:bCs/>
          <w:color w:val="28251D"/>
          <w:sz w:val="36"/>
          <w:szCs w:val="36"/>
        </w:rPr>
        <w:t xml:space="preserve">Pankreatitis – Textbausteine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A7974"/>
          <w:sz w:val="20"/>
          <w:szCs w:val="20"/>
        </w:rPr>
        <w:t xml:space="preserve">Dr. med. K. Koschny · Gastroenterologie · GFGB 2026 · DGVS S3-Leitlinie 2024</w:t>
      </w:r>
    </w:p>
    <w:p>
      <w:pPr>
        <w:pBdr>
          <w:bottom w:val="single" w:color="D4D1CA" w:sz="4"/>
        </w:pBdr>
        <w:spacing w:after="60" w:before="280"/>
      </w:pPr>
      <w:r>
        <w:rPr>
          <w:rFonts w:ascii="Calibri" w:cs="Calibri" w:eastAsia="Calibri" w:hAnsi="Calibri"/>
          <w:b/>
          <w:bCs/>
          <w:color w:val="28251D"/>
          <w:sz w:val="26"/>
          <w:szCs w:val="26"/>
        </w:rPr>
        <w:t xml:space="preserve">Schwere / nekrotisierende Pankreatitis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Im Rahmen des stationären Aufenthalts bestand eine schwere/nekrotisierende Pankreatitis (Schweregrad: __). Gemäß DGVS-S3-Leitlinie 2024 (Empfehlung 10.1) empfehle ich eine strukturierte gastroenterologische Nachsorge:</w:t>
      </w:r>
    </w:p>
    <w:p>
      <w:pPr>
        <w:spacing w:after="0" w:before="6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Kontrolltermin nach 4–6 Wochen (klinisch, Labor, Bildgebung)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Jährliche Verlaufskontrolle für mindestens 5 Jahre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Überwachung auf exokrine Insuffizienz (Elastase im Stuhl), endokrine Insuffizienz (HbA1c, Nüchternglukose) und Neoplasieentwicklung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Bei Alkohol-induzierter Pankreatitis: Alkoholkarenz und strukturierte Suchtberatung dringend empfohlen (RCT-Evidenz: Rezidivreduktion um 50 %)</w:t>
      </w:r>
    </w:p>
    <w:p>
      <w:pPr>
        <w:spacing w:after="0" w:before="6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Bitte Vorstellung in gastroenterologischer Ambulanz zeitnah veranlassen.</w:t>
      </w:r>
    </w:p>
    <w:p>
      <w:pPr>
        <w:pBdr>
          <w:bottom w:val="single" w:color="D4D1CA" w:sz="6"/>
        </w:pBdr>
        <w:spacing w:after="160" w:before="160"/>
      </w:pPr>
    </w:p>
    <w:p>
      <w:pPr>
        <w:pBdr>
          <w:bottom w:val="single" w:color="D4D1CA" w:sz="4"/>
        </w:pBdr>
        <w:spacing w:after="60" w:before="280"/>
      </w:pPr>
      <w:r>
        <w:rPr>
          <w:rFonts w:ascii="Calibri" w:cs="Calibri" w:eastAsia="Calibri" w:hAnsi="Calibri"/>
          <w:b/>
          <w:bCs/>
          <w:color w:val="28251D"/>
          <w:sz w:val="26"/>
          <w:szCs w:val="26"/>
        </w:rPr>
        <w:t xml:space="preserve">Kryptogene Pankreatitis &gt;40 Jahre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Nachweis einer Pankreatitis ungeklärter Ätiologie bei einem Patienten &gt;40 Jahren. Gemäß DGVS-S3-Leitlinie 2024 besteht bei kryptogener Pankreatitis und Alter &gt;40 Jahren eine Indikation zur erweiterten Abklärung und strukturierten Bildgebungs-Nachsorge zum Ausschluss einer Neoplasie (IPMN, PDAC).</w:t>
      </w:r>
    </w:p>
    <w:p>
      <w:pPr>
        <w:spacing w:after="0" w:before="6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Empfehlung: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EUS oder MRT/MRCP (bevorzugte Modalität) zum Ausschluss von Pankreaszysten (IPMN) und Raumforderungen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CA 19-9 (cave: eingeschränkte Spezifität bei Pankreatitis)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Bei unauffälligem Befund: jährliche Bildgebung für 2 Jahre, dann reevaluieren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Bei Nachweis von Pankreaszysten: Nachsorge gemäß europäischer IPMN-Leitlinie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Malignitätsverdacht: zeitnahe Vorstellung im zertifizierten Pankreaszentrum</w:t>
      </w:r>
    </w:p>
    <w:p>
      <w:pPr>
        <w:pBdr>
          <w:bottom w:val="single" w:color="D4D1CA" w:sz="6"/>
        </w:pBdr>
        <w:spacing w:after="160" w:before="160"/>
      </w:pPr>
    </w:p>
    <w:p>
      <w:pPr>
        <w:pBdr>
          <w:bottom w:val="single" w:color="D4D1CA" w:sz="4"/>
        </w:pBdr>
        <w:spacing w:after="60" w:before="280"/>
      </w:pPr>
      <w:r>
        <w:rPr>
          <w:rFonts w:ascii="Calibri" w:cs="Calibri" w:eastAsia="Calibri" w:hAnsi="Calibri"/>
          <w:b/>
          <w:bCs/>
          <w:color w:val="28251D"/>
          <w:sz w:val="26"/>
          <w:szCs w:val="26"/>
        </w:rPr>
        <w:t xml:space="preserve">Alkohol-induzierte Pankreatitis (jeder Schweregrad)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Alkohol-induzierte Pankreatitis, Schweregrad: __. Eine randomisierte Studie (120 Patienten) zeigt, dass strukturierte Nachsorge mit Alkoholberatung das Rezidivrisiko innerhalb von 24 Monaten von 21 % auf 8 % senkt (p=0,04; DGVS S3-Leitlinie 2024, Empfehlung 10.1).</w:t>
      </w:r>
    </w:p>
    <w:p>
      <w:pPr>
        <w:spacing w:after="0" w:before="6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Empfehlung: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Dringende Alkoholkarenz – vollständige Abstinenz ist der einzige gesicherte Schutz vor Rezidiv und Progression zur chronischen Pankreatitis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Überweisung zu Suchtmedizin / strukturierter Alkoholberatung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Nachsorge in gastroenterologischer Ambulanz nach 4–6 Wochen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– Bei Rezidiv: erneute vollständige Abklärung inkl. Bildgebung</w:t>
      </w:r>
    </w:p>
    <w:p>
      <w:pPr>
        <w:spacing w:after="0" w:before="240"/>
      </w:pPr>
    </w:p>
    <w:p>
      <w:pPr>
        <w:spacing w:before="80"/>
        <w:jc w:val="center"/>
      </w:pPr>
      <w:r>
        <w:rPr>
          <w:rFonts w:ascii="Calibri" w:cs="Calibri" w:eastAsia="Calibri" w:hAnsi="Calibri"/>
          <w:i/>
          <w:iCs/>
          <w:color w:val="7A7974"/>
          <w:sz w:val="18"/>
          <w:szCs w:val="18"/>
        </w:rPr>
        <w:t xml:space="preserve">Dr. med. Kristin Koschny · Assistenzärztin Gastroenterologie · GFGB-Jahrestagung 2026</w:t>
      </w:r>
    </w:p>
    <w:sectPr>
      <w:headerReference w:type="default" r:id="rId7"/>
      <w:footerReference w:type="default" r:id="rId8"/>
      <w:pgSz w:w="11906" w:h="16838" w:orient="portrait"/>
      <w:pgMar w:top="1400" w:right="1134" w:bottom="14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1CA" w:sz="4"/>
      </w:pBd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Dr. med. Kristin Koschny · Gastroenterologie · Stand: April 2026 · DGVS S3-Leitlinie Pankreatitis 2024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7A7974"/>
        <w:sz w:val="16"/>
        <w:szCs w:val="16"/>
      </w:rPr>
      <w:t xml:space="preserve">Pankreatitis – Textbausteine · Dr. K. Koschny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2026-04-04T13:23:57.276Z</dcterms:created>
  <dcterms:modified xsi:type="dcterms:W3CDTF">2026-04-04T13:23:57.277Z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