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hd w:fill="01696F" w:val="clear"/>
        <w:spacing w:after="60" w:before="400"/>
        <w:jc w:val="center"/>
      </w:pPr>
      <w:r>
        <w:rPr>
          <w:rFonts w:ascii="Calibri" w:cs="Calibri" w:eastAsia="Calibri" w:hAnsi="Calibri"/>
          <w:b/>
          <w:bCs/>
          <w:color w:val="FFFFFF"/>
          <w:sz w:val="44"/>
          <w:szCs w:val="44"/>
        </w:rPr>
        <w:t xml:space="preserve">Pankreatitis – Nachsorge-Textbausteine</w:t>
      </w:r>
    </w:p>
    <w:p>
      <w:pPr>
        <w:shd w:fill="01696F" w:val="clear"/>
        <w:spacing w:after="60" w:before="0"/>
        <w:jc w:val="center"/>
      </w:pPr>
      <w:r>
        <w:rPr>
          <w:rFonts w:ascii="Calibri" w:cs="Calibri" w:eastAsia="Calibri" w:hAnsi="Calibri"/>
          <w:i/>
          <w:iCs/>
          <w:color w:val="CCE9EA"/>
          <w:sz w:val="22"/>
          <w:szCs w:val="22"/>
        </w:rPr>
        <w:t xml:space="preserve">Leitliniengerechte Formulierungen für Arztbrief und Endoskopiebefund</w:t>
      </w:r>
    </w:p>
    <w:p>
      <w:pPr>
        <w:shd w:fill="01696F" w:val="clear"/>
        <w:spacing w:after="80" w:before="0"/>
        <w:jc w:val="center"/>
      </w:pPr>
      <w:r>
        <w:rPr>
          <w:rFonts w:ascii="Calibri" w:cs="Calibri" w:eastAsia="Calibri" w:hAnsi="Calibri"/>
          <w:color w:val="CCE9EA"/>
          <w:sz w:val="20"/>
          <w:szCs w:val="20"/>
        </w:rPr>
        <w:t xml:space="preserve">DGVS S3-Leitlinie 2024 · Stand: April 2026 · Dr. med. Kristin Koschny</w:t>
      </w:r>
    </w:p>
    <w:p>
      <w:pPr>
        <w:spacing w:after="0" w:before="240"/>
      </w:pPr>
    </w:p>
    <w:p>
      <w:pPr>
        <w:spacing w:after="80" w:before="80"/>
      </w:pPr>
      <w:r>
        <w:rPr>
          <w:rFonts w:ascii="Calibri" w:cs="Calibri" w:eastAsia="Calibri" w:hAnsi="Calibri"/>
          <w:color w:val="28251D"/>
          <w:sz w:val="22"/>
          <w:szCs w:val="22"/>
        </w:rPr>
        <w:t xml:space="preserve">Die DGVS-Leitlinie 2024 empfiehlt eine strukturierte Nachsorge nach Pankreatitis – je nach Schweregrad, Ätiologie und Verlauf.</w:t>
      </w:r>
    </w:p>
    <w:p>
      <w:pPr>
        <w:spacing w:after="80" w:before="80"/>
      </w:pPr>
      <w:r>
        <w:rPr>
          <w:rFonts w:ascii="Calibri" w:cs="Calibri" w:eastAsia="Calibri" w:hAnsi="Calibri"/>
          <w:color w:val="28251D"/>
          <w:sz w:val="22"/>
          <w:szCs w:val="22"/>
        </w:rPr>
        <w:t xml:space="preserve">In der Praxis wird diese Empfehlung häufig nicht systematisch umgesetzt.</w:t>
      </w:r>
    </w:p>
    <w:p>
      <w:pPr>
        <w:spacing w:after="80" w:before="80"/>
      </w:pPr>
      <w:r>
        <w:rPr>
          <w:rFonts w:ascii="Calibri" w:cs="Calibri" w:eastAsia="Calibri" w:hAnsi="Calibri"/>
          <w:color w:val="28251D"/>
          <w:sz w:val="22"/>
          <w:szCs w:val="22"/>
        </w:rPr>
        <w:t xml:space="preserve">Die folgenden Textbausteine erleichtern die leitliniengerechte Dokumentation.</w:t>
      </w:r>
    </w:p>
    <w:p>
      <w:pPr>
        <w:spacing w:after="0" w:before="120"/>
      </w:pPr>
    </w:p>
    <w:p>
      <w:pPr>
        <w:pBdr>
          <w:bottom w:val="single" w:color="D4D1CA" w:sz="6"/>
        </w:pBdr>
        <w:spacing w:after="120" w:before="120"/>
      </w:pPr>
    </w:p>
    <w:p>
      <w:pPr>
        <w:shd w:fill="01696F" w:val="clear"/>
        <w:spacing w:after="0" w:before="340"/>
        <w:ind w:left="0" w:right="0"/>
      </w:pPr>
      <w:r>
        <w:rPr>
          <w:rFonts w:ascii="Calibri" w:cs="Calibri" w:eastAsia="Calibri" w:hAnsi="Calibri"/>
          <w:b/>
          <w:bCs/>
          <w:color w:val="FFFFFF"/>
          <w:sz w:val="28"/>
          <w:szCs w:val="28"/>
        </w:rPr>
        <w:t xml:space="preserve">BAUSTEIN 1 – Schwere / nekrotisierende Pankreatitis</w:t>
      </w:r>
    </w:p>
    <w:p>
      <w:pPr>
        <w:spacing w:after="0" w:before="10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1B474D"/>
          <w:sz w:val="22"/>
          <w:szCs w:val="22"/>
        </w:rPr>
        <w:t xml:space="preserve">Entlassungsbrief / Arztbrief: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DA7101" w:sz="2"/>
              <w:left w:val="thick" w:color="DA7101" w:sz="14"/>
              <w:bottom w:val="nil" w:color="FFFFFF" w:sz="0"/>
              <w:right w:val="single" w:color="DA7101" w:sz="2"/>
            </w:tcBorders>
            <w:shd w:fill="FFF4E5" w:val="clear"/>
            <w:tcMar>
              <w:top w:type="dxa" w:w="60"/>
              <w:left w:type="dxa" w:w="16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8251D"/>
                <w:sz w:val="20"/>
                <w:szCs w:val="20"/>
              </w:rPr>
              <w:t xml:space="preserve">Im Rahmen des stationären Aufenthalts bestand eine schwere/nekrotisierende Pankreatitis (Schweregrad: __).</w:t>
            </w:r>
          </w:p>
        </w:tc>
      </w:tr>
      <w:tr>
        <w:tc>
          <w:tcPr>
            <w:tcW w:type="dxa" w:w="9638"/>
            <w:tcBorders>
              <w:top w:val="nil" w:color="FFFFFF" w:sz="0"/>
              <w:left w:val="thick" w:color="DA7101" w:sz="14"/>
              <w:bottom w:val="nil" w:color="FFFFFF" w:sz="0"/>
              <w:right w:val="single" w:color="DA7101" w:sz="2"/>
            </w:tcBorders>
            <w:shd w:fill="FFF4E5" w:val="clear"/>
            <w:tcMar>
              <w:top w:type="dxa" w:w="60"/>
              <w:left w:type="dxa" w:w="16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8251D"/>
                <w:sz w:val="20"/>
                <w:szCs w:val="20"/>
              </w:rPr>
              <w:t xml:space="preserve">Gemäß DGVS-S3-Leitlinie 2024 (Empfehlung 10.1) empfehle ich eine strukturierte gastroenterologische Nachsorge:</w:t>
            </w:r>
          </w:p>
        </w:tc>
      </w:tr>
      <w:tr>
        <w:tc>
          <w:tcPr>
            <w:tcW w:type="dxa" w:w="9638"/>
            <w:tcBorders>
              <w:top w:val="nil" w:color="FFFFFF" w:sz="0"/>
              <w:left w:val="thick" w:color="DA7101" w:sz="14"/>
              <w:bottom w:val="nil" w:color="FFFFFF" w:sz="0"/>
              <w:right w:val="single" w:color="DA7101" w:sz="2"/>
            </w:tcBorders>
            <w:shd w:fill="FFF4E5" w:val="clear"/>
            <w:tcMar>
              <w:top w:type="dxa" w:w="60"/>
              <w:left w:type="dxa" w:w="16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8251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638"/>
            <w:tcBorders>
              <w:top w:val="nil" w:color="FFFFFF" w:sz="0"/>
              <w:left w:val="thick" w:color="DA7101" w:sz="14"/>
              <w:bottom w:val="nil" w:color="FFFFFF" w:sz="0"/>
              <w:right w:val="single" w:color="DA7101" w:sz="2"/>
            </w:tcBorders>
            <w:shd w:fill="FFF4E5" w:val="clear"/>
            <w:tcMar>
              <w:top w:type="dxa" w:w="60"/>
              <w:left w:type="dxa" w:w="16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8251D"/>
                <w:sz w:val="20"/>
                <w:szCs w:val="20"/>
              </w:rPr>
              <w:t xml:space="preserve">– Kontrolltermin nach 4–6 Wochen (klinisch, Labor, Bildgebung)</w:t>
            </w:r>
          </w:p>
        </w:tc>
      </w:tr>
      <w:tr>
        <w:tc>
          <w:tcPr>
            <w:tcW w:type="dxa" w:w="9638"/>
            <w:tcBorders>
              <w:top w:val="nil" w:color="FFFFFF" w:sz="0"/>
              <w:left w:val="thick" w:color="DA7101" w:sz="14"/>
              <w:bottom w:val="nil" w:color="FFFFFF" w:sz="0"/>
              <w:right w:val="single" w:color="DA7101" w:sz="2"/>
            </w:tcBorders>
            <w:shd w:fill="FFF4E5" w:val="clear"/>
            <w:tcMar>
              <w:top w:type="dxa" w:w="60"/>
              <w:left w:type="dxa" w:w="16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8251D"/>
                <w:sz w:val="20"/>
                <w:szCs w:val="20"/>
              </w:rPr>
              <w:t xml:space="preserve">– Jährliche Verlaufskontrolle für mindestens 5 Jahre</w:t>
            </w:r>
          </w:p>
        </w:tc>
      </w:tr>
      <w:tr>
        <w:tc>
          <w:tcPr>
            <w:tcW w:type="dxa" w:w="9638"/>
            <w:tcBorders>
              <w:top w:val="nil" w:color="FFFFFF" w:sz="0"/>
              <w:left w:val="thick" w:color="DA7101" w:sz="14"/>
              <w:bottom w:val="nil" w:color="FFFFFF" w:sz="0"/>
              <w:right w:val="single" w:color="DA7101" w:sz="2"/>
            </w:tcBorders>
            <w:shd w:fill="FFF4E5" w:val="clear"/>
            <w:tcMar>
              <w:top w:type="dxa" w:w="60"/>
              <w:left w:type="dxa" w:w="16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8251D"/>
                <w:sz w:val="20"/>
                <w:szCs w:val="20"/>
              </w:rPr>
              <w:t xml:space="preserve">– Überwachung auf exokrine Insuffizienz (Elastase im Stuhl), endokrine Insuffizienz (HbA1c, Nüchternglukose)</w:t>
            </w:r>
          </w:p>
        </w:tc>
      </w:tr>
      <w:tr>
        <w:tc>
          <w:tcPr>
            <w:tcW w:type="dxa" w:w="9638"/>
            <w:tcBorders>
              <w:top w:val="nil" w:color="FFFFFF" w:sz="0"/>
              <w:left w:val="thick" w:color="DA7101" w:sz="14"/>
              <w:bottom w:val="nil" w:color="FFFFFF" w:sz="0"/>
              <w:right w:val="single" w:color="DA7101" w:sz="2"/>
            </w:tcBorders>
            <w:shd w:fill="FFF4E5" w:val="clear"/>
            <w:tcMar>
              <w:top w:type="dxa" w:w="60"/>
              <w:left w:type="dxa" w:w="16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8251D"/>
                <w:sz w:val="20"/>
                <w:szCs w:val="20"/>
              </w:rPr>
              <w:t xml:space="preserve">   und Neoplasieentwicklung</w:t>
            </w:r>
          </w:p>
        </w:tc>
      </w:tr>
      <w:tr>
        <w:tc>
          <w:tcPr>
            <w:tcW w:type="dxa" w:w="9638"/>
            <w:tcBorders>
              <w:top w:val="nil" w:color="FFFFFF" w:sz="0"/>
              <w:left w:val="thick" w:color="DA7101" w:sz="14"/>
              <w:bottom w:val="nil" w:color="FFFFFF" w:sz="0"/>
              <w:right w:val="single" w:color="DA7101" w:sz="2"/>
            </w:tcBorders>
            <w:shd w:fill="FFF4E5" w:val="clear"/>
            <w:tcMar>
              <w:top w:type="dxa" w:w="60"/>
              <w:left w:type="dxa" w:w="16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8251D"/>
                <w:sz w:val="20"/>
                <w:szCs w:val="20"/>
              </w:rPr>
              <w:t xml:space="preserve">– Bei Alkohol-induzierter Pankreatitis: Alkoholkarenz und strukturierte Suchtberatung dringend empfohlen</w:t>
            </w:r>
          </w:p>
        </w:tc>
      </w:tr>
      <w:tr>
        <w:tc>
          <w:tcPr>
            <w:tcW w:type="dxa" w:w="9638"/>
            <w:tcBorders>
              <w:top w:val="nil" w:color="FFFFFF" w:sz="0"/>
              <w:left w:val="thick" w:color="DA7101" w:sz="14"/>
              <w:bottom w:val="nil" w:color="FFFFFF" w:sz="0"/>
              <w:right w:val="single" w:color="DA7101" w:sz="2"/>
            </w:tcBorders>
            <w:shd w:fill="FFF4E5" w:val="clear"/>
            <w:tcMar>
              <w:top w:type="dxa" w:w="60"/>
              <w:left w:type="dxa" w:w="16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8251D"/>
                <w:sz w:val="20"/>
                <w:szCs w:val="20"/>
              </w:rPr>
              <w:t xml:space="preserve">   (RCT-Evidenz: Rezidivreduktion um 50 %)</w:t>
            </w:r>
          </w:p>
        </w:tc>
      </w:tr>
      <w:tr>
        <w:tc>
          <w:tcPr>
            <w:tcW w:type="dxa" w:w="9638"/>
            <w:tcBorders>
              <w:top w:val="nil" w:color="FFFFFF" w:sz="0"/>
              <w:left w:val="thick" w:color="DA7101" w:sz="14"/>
              <w:bottom w:val="nil" w:color="FFFFFF" w:sz="0"/>
              <w:right w:val="single" w:color="DA7101" w:sz="2"/>
            </w:tcBorders>
            <w:shd w:fill="FFF4E5" w:val="clear"/>
            <w:tcMar>
              <w:top w:type="dxa" w:w="60"/>
              <w:left w:type="dxa" w:w="16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8251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638"/>
            <w:tcBorders>
              <w:top w:val="nil" w:color="FFFFFF" w:sz="0"/>
              <w:left w:val="thick" w:color="DA7101" w:sz="14"/>
              <w:bottom w:val="single" w:color="DA7101" w:sz="2"/>
              <w:right w:val="single" w:color="DA7101" w:sz="2"/>
            </w:tcBorders>
            <w:shd w:fill="FFF4E5" w:val="clear"/>
            <w:tcMar>
              <w:top w:type="dxa" w:w="60"/>
              <w:left w:type="dxa" w:w="16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8251D"/>
                <w:sz w:val="20"/>
                <w:szCs w:val="20"/>
              </w:rPr>
              <w:t xml:space="preserve">Bitte Vorstellung in gastroenterologischer Ambulanz zeitnah veranlassen.</w:t>
            </w:r>
          </w:p>
        </w:tc>
      </w:tr>
    </w:tbl>
    <w:p>
      <w:pPr>
        <w:spacing w:after="0" w:before="160"/>
      </w:pPr>
    </w:p>
    <w:p>
      <w:pPr>
        <w:pBdr>
          <w:bottom w:val="single" w:color="D4D1CA" w:sz="6"/>
        </w:pBdr>
        <w:spacing w:after="120" w:before="120"/>
      </w:pPr>
    </w:p>
    <w:p>
      <w:pPr>
        <w:shd w:fill="01696F" w:val="clear"/>
        <w:spacing w:after="0" w:before="340"/>
        <w:ind w:left="0" w:right="0"/>
      </w:pPr>
      <w:r>
        <w:rPr>
          <w:rFonts w:ascii="Calibri" w:cs="Calibri" w:eastAsia="Calibri" w:hAnsi="Calibri"/>
          <w:b/>
          <w:bCs/>
          <w:color w:val="FFFFFF"/>
          <w:sz w:val="28"/>
          <w:szCs w:val="28"/>
        </w:rPr>
        <w:t xml:space="preserve">BAUSTEIN 2 – Kryptogene Pankreatitis &gt;40 Jahre</w:t>
      </w:r>
    </w:p>
    <w:p>
      <w:pPr>
        <w:spacing w:after="0" w:before="10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1B474D"/>
          <w:sz w:val="22"/>
          <w:szCs w:val="22"/>
        </w:rPr>
        <w:t xml:space="preserve">Endoskopiebefund / Arztbrief: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DA7101" w:sz="2"/>
              <w:left w:val="thick" w:color="DA7101" w:sz="14"/>
              <w:bottom w:val="nil" w:color="FFFFFF" w:sz="0"/>
              <w:right w:val="single" w:color="DA7101" w:sz="2"/>
            </w:tcBorders>
            <w:shd w:fill="FFF4E5" w:val="clear"/>
            <w:tcMar>
              <w:top w:type="dxa" w:w="60"/>
              <w:left w:type="dxa" w:w="16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8251D"/>
                <w:sz w:val="20"/>
                <w:szCs w:val="20"/>
              </w:rPr>
              <w:t xml:space="preserve">Nachweis einer Pankreatitis ungeklärter Ätiologie bei einem Patienten &gt;40 Jahren.</w:t>
            </w:r>
          </w:p>
        </w:tc>
      </w:tr>
      <w:tr>
        <w:tc>
          <w:tcPr>
            <w:tcW w:type="dxa" w:w="9638"/>
            <w:tcBorders>
              <w:top w:val="nil" w:color="FFFFFF" w:sz="0"/>
              <w:left w:val="thick" w:color="DA7101" w:sz="14"/>
              <w:bottom w:val="nil" w:color="FFFFFF" w:sz="0"/>
              <w:right w:val="single" w:color="DA7101" w:sz="2"/>
            </w:tcBorders>
            <w:shd w:fill="FFF4E5" w:val="clear"/>
            <w:tcMar>
              <w:top w:type="dxa" w:w="60"/>
              <w:left w:type="dxa" w:w="16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8251D"/>
                <w:sz w:val="20"/>
                <w:szCs w:val="20"/>
              </w:rPr>
              <w:t xml:space="preserve">Gemäß DGVS-S3-Leitlinie 2024 besteht bei kryptogener Pankreatitis und Alter &gt;40 Jahren eine Indikation</w:t>
            </w:r>
          </w:p>
        </w:tc>
      </w:tr>
      <w:tr>
        <w:tc>
          <w:tcPr>
            <w:tcW w:type="dxa" w:w="9638"/>
            <w:tcBorders>
              <w:top w:val="nil" w:color="FFFFFF" w:sz="0"/>
              <w:left w:val="thick" w:color="DA7101" w:sz="14"/>
              <w:bottom w:val="nil" w:color="FFFFFF" w:sz="0"/>
              <w:right w:val="single" w:color="DA7101" w:sz="2"/>
            </w:tcBorders>
            <w:shd w:fill="FFF4E5" w:val="clear"/>
            <w:tcMar>
              <w:top w:type="dxa" w:w="60"/>
              <w:left w:type="dxa" w:w="16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8251D"/>
                <w:sz w:val="20"/>
                <w:szCs w:val="20"/>
              </w:rPr>
              <w:t xml:space="preserve">zur erweiterten Abklärung und strukturierten Bildgebungs-Nachsorge zum Ausschluss einer Neoplasie (IPMN, PDAC).</w:t>
            </w:r>
          </w:p>
        </w:tc>
      </w:tr>
      <w:tr>
        <w:tc>
          <w:tcPr>
            <w:tcW w:type="dxa" w:w="9638"/>
            <w:tcBorders>
              <w:top w:val="nil" w:color="FFFFFF" w:sz="0"/>
              <w:left w:val="thick" w:color="DA7101" w:sz="14"/>
              <w:bottom w:val="nil" w:color="FFFFFF" w:sz="0"/>
              <w:right w:val="single" w:color="DA7101" w:sz="2"/>
            </w:tcBorders>
            <w:shd w:fill="FFF4E5" w:val="clear"/>
            <w:tcMar>
              <w:top w:type="dxa" w:w="60"/>
              <w:left w:type="dxa" w:w="16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8251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638"/>
            <w:tcBorders>
              <w:top w:val="nil" w:color="FFFFFF" w:sz="0"/>
              <w:left w:val="thick" w:color="DA7101" w:sz="14"/>
              <w:bottom w:val="nil" w:color="FFFFFF" w:sz="0"/>
              <w:right w:val="single" w:color="DA7101" w:sz="2"/>
            </w:tcBorders>
            <w:shd w:fill="FFF4E5" w:val="clear"/>
            <w:tcMar>
              <w:top w:type="dxa" w:w="60"/>
              <w:left w:type="dxa" w:w="16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8251D"/>
                <w:sz w:val="20"/>
                <w:szCs w:val="20"/>
              </w:rPr>
              <w:t xml:space="preserve">Empfehlung:</w:t>
            </w:r>
          </w:p>
        </w:tc>
      </w:tr>
      <w:tr>
        <w:tc>
          <w:tcPr>
            <w:tcW w:type="dxa" w:w="9638"/>
            <w:tcBorders>
              <w:top w:val="nil" w:color="FFFFFF" w:sz="0"/>
              <w:left w:val="thick" w:color="DA7101" w:sz="14"/>
              <w:bottom w:val="nil" w:color="FFFFFF" w:sz="0"/>
              <w:right w:val="single" w:color="DA7101" w:sz="2"/>
            </w:tcBorders>
            <w:shd w:fill="FFF4E5" w:val="clear"/>
            <w:tcMar>
              <w:top w:type="dxa" w:w="60"/>
              <w:left w:type="dxa" w:w="16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8251D"/>
                <w:sz w:val="20"/>
                <w:szCs w:val="20"/>
              </w:rPr>
              <w:t xml:space="preserve">– EUS oder MRT/MRCP (bevorzugte Modalität) zum Ausschluss von Pankreaszysten (IPMN) und Raumforderungen</w:t>
            </w:r>
          </w:p>
        </w:tc>
      </w:tr>
      <w:tr>
        <w:tc>
          <w:tcPr>
            <w:tcW w:type="dxa" w:w="9638"/>
            <w:tcBorders>
              <w:top w:val="nil" w:color="FFFFFF" w:sz="0"/>
              <w:left w:val="thick" w:color="DA7101" w:sz="14"/>
              <w:bottom w:val="nil" w:color="FFFFFF" w:sz="0"/>
              <w:right w:val="single" w:color="DA7101" w:sz="2"/>
            </w:tcBorders>
            <w:shd w:fill="FFF4E5" w:val="clear"/>
            <w:tcMar>
              <w:top w:type="dxa" w:w="60"/>
              <w:left w:type="dxa" w:w="16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8251D"/>
                <w:sz w:val="20"/>
                <w:szCs w:val="20"/>
              </w:rPr>
              <w:t xml:space="preserve">– CA19-9 (cave: eingeschränkte Spezifität bei Pankreatitis)</w:t>
            </w:r>
          </w:p>
        </w:tc>
      </w:tr>
      <w:tr>
        <w:tc>
          <w:tcPr>
            <w:tcW w:type="dxa" w:w="9638"/>
            <w:tcBorders>
              <w:top w:val="nil" w:color="FFFFFF" w:sz="0"/>
              <w:left w:val="thick" w:color="DA7101" w:sz="14"/>
              <w:bottom w:val="nil" w:color="FFFFFF" w:sz="0"/>
              <w:right w:val="single" w:color="DA7101" w:sz="2"/>
            </w:tcBorders>
            <w:shd w:fill="FFF4E5" w:val="clear"/>
            <w:tcMar>
              <w:top w:type="dxa" w:w="60"/>
              <w:left w:type="dxa" w:w="16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8251D"/>
                <w:sz w:val="20"/>
                <w:szCs w:val="20"/>
              </w:rPr>
              <w:t xml:space="preserve">– Bei unauffälligem Befund: jährliche Bildgebung für 2 Jahre, dann reevaluieren</w:t>
            </w:r>
          </w:p>
        </w:tc>
      </w:tr>
      <w:tr>
        <w:tc>
          <w:tcPr>
            <w:tcW w:type="dxa" w:w="9638"/>
            <w:tcBorders>
              <w:top w:val="nil" w:color="FFFFFF" w:sz="0"/>
              <w:left w:val="thick" w:color="DA7101" w:sz="14"/>
              <w:bottom w:val="nil" w:color="FFFFFF" w:sz="0"/>
              <w:right w:val="single" w:color="DA7101" w:sz="2"/>
            </w:tcBorders>
            <w:shd w:fill="FFF4E5" w:val="clear"/>
            <w:tcMar>
              <w:top w:type="dxa" w:w="60"/>
              <w:left w:type="dxa" w:w="16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8251D"/>
                <w:sz w:val="20"/>
                <w:szCs w:val="20"/>
              </w:rPr>
              <w:t xml:space="preserve">– Bei Nachweis von Pankreaszysten: Nachsorge gemäß europäischer IPMN-Leitlinie</w:t>
            </w:r>
          </w:p>
        </w:tc>
      </w:tr>
      <w:tr>
        <w:tc>
          <w:tcPr>
            <w:tcW w:type="dxa" w:w="9638"/>
            <w:tcBorders>
              <w:top w:val="nil" w:color="FFFFFF" w:sz="0"/>
              <w:left w:val="thick" w:color="DA7101" w:sz="14"/>
              <w:bottom w:val="nil" w:color="FFFFFF" w:sz="0"/>
              <w:right w:val="single" w:color="DA7101" w:sz="2"/>
            </w:tcBorders>
            <w:shd w:fill="FFF4E5" w:val="clear"/>
            <w:tcMar>
              <w:top w:type="dxa" w:w="60"/>
              <w:left w:type="dxa" w:w="16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8251D"/>
                <w:sz w:val="20"/>
                <w:szCs w:val="20"/>
              </w:rPr>
              <w:t xml:space="preserve">   (European Study Group on Cystic Tumors of the Pancreas)</w:t>
            </w:r>
          </w:p>
        </w:tc>
      </w:tr>
      <w:tr>
        <w:tc>
          <w:tcPr>
            <w:tcW w:type="dxa" w:w="9638"/>
            <w:tcBorders>
              <w:top w:val="nil" w:color="FFFFFF" w:sz="0"/>
              <w:left w:val="thick" w:color="DA7101" w:sz="14"/>
              <w:bottom w:val="single" w:color="DA7101" w:sz="2"/>
              <w:right w:val="single" w:color="DA7101" w:sz="2"/>
            </w:tcBorders>
            <w:shd w:fill="FFF4E5" w:val="clear"/>
            <w:tcMar>
              <w:top w:type="dxa" w:w="60"/>
              <w:left w:type="dxa" w:w="16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8251D"/>
                <w:sz w:val="20"/>
                <w:szCs w:val="20"/>
              </w:rPr>
              <w:t xml:space="preserve">– Malignitatsverdacht: zeitnahe Vorstellung im zertifizierten Pankreaszentrum</w:t>
            </w:r>
          </w:p>
        </w:tc>
      </w:tr>
    </w:tbl>
    <w:p>
      <w:pPr>
        <w:spacing w:after="0" w:before="160"/>
      </w:pPr>
    </w:p>
    <w:p>
      <w:pPr>
        <w:pBdr>
          <w:bottom w:val="single" w:color="D4D1CA" w:sz="6"/>
        </w:pBdr>
        <w:spacing w:after="120" w:before="120"/>
      </w:pPr>
    </w:p>
    <w:p>
      <w:pPr>
        <w:shd w:fill="01696F" w:val="clear"/>
        <w:spacing w:after="0" w:before="340"/>
        <w:ind w:left="0" w:right="0"/>
      </w:pPr>
      <w:r>
        <w:rPr>
          <w:rFonts w:ascii="Calibri" w:cs="Calibri" w:eastAsia="Calibri" w:hAnsi="Calibri"/>
          <w:b/>
          <w:bCs/>
          <w:color w:val="FFFFFF"/>
          <w:sz w:val="28"/>
          <w:szCs w:val="28"/>
        </w:rPr>
        <w:t xml:space="preserve">BAUSTEIN 3 – Alkohol-induzierte Pankreatitis (jeder Schweregrad)</w:t>
      </w:r>
    </w:p>
    <w:p>
      <w:pPr>
        <w:spacing w:after="0" w:before="10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1B474D"/>
          <w:sz w:val="22"/>
          <w:szCs w:val="22"/>
        </w:rPr>
        <w:t xml:space="preserve">Arztbrief: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DA7101" w:sz="2"/>
              <w:left w:val="thick" w:color="DA7101" w:sz="14"/>
              <w:bottom w:val="nil" w:color="FFFFFF" w:sz="0"/>
              <w:right w:val="single" w:color="DA7101" w:sz="2"/>
            </w:tcBorders>
            <w:shd w:fill="FFF4E5" w:val="clear"/>
            <w:tcMar>
              <w:top w:type="dxa" w:w="60"/>
              <w:left w:type="dxa" w:w="16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8251D"/>
                <w:sz w:val="20"/>
                <w:szCs w:val="20"/>
              </w:rPr>
              <w:t xml:space="preserve">Alkohol-induzierte Pankreatitis, Schweregrad: __.</w:t>
            </w:r>
          </w:p>
        </w:tc>
      </w:tr>
      <w:tr>
        <w:tc>
          <w:tcPr>
            <w:tcW w:type="dxa" w:w="9638"/>
            <w:tcBorders>
              <w:top w:val="nil" w:color="FFFFFF" w:sz="0"/>
              <w:left w:val="thick" w:color="DA7101" w:sz="14"/>
              <w:bottom w:val="nil" w:color="FFFFFF" w:sz="0"/>
              <w:right w:val="single" w:color="DA7101" w:sz="2"/>
            </w:tcBorders>
            <w:shd w:fill="FFF4E5" w:val="clear"/>
            <w:tcMar>
              <w:top w:type="dxa" w:w="60"/>
              <w:left w:type="dxa" w:w="16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8251D"/>
                <w:sz w:val="20"/>
                <w:szCs w:val="20"/>
              </w:rPr>
              <w:t xml:space="preserve">Eine randomisierte Studie (120 Patienten) zeigt, dass strukturierte Nachsorge mit Alkoholberatung</w:t>
            </w:r>
          </w:p>
        </w:tc>
      </w:tr>
      <w:tr>
        <w:tc>
          <w:tcPr>
            <w:tcW w:type="dxa" w:w="9638"/>
            <w:tcBorders>
              <w:top w:val="nil" w:color="FFFFFF" w:sz="0"/>
              <w:left w:val="thick" w:color="DA7101" w:sz="14"/>
              <w:bottom w:val="nil" w:color="FFFFFF" w:sz="0"/>
              <w:right w:val="single" w:color="DA7101" w:sz="2"/>
            </w:tcBorders>
            <w:shd w:fill="FFF4E5" w:val="clear"/>
            <w:tcMar>
              <w:top w:type="dxa" w:w="60"/>
              <w:left w:type="dxa" w:w="16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8251D"/>
                <w:sz w:val="20"/>
                <w:szCs w:val="20"/>
              </w:rPr>
              <w:t xml:space="preserve">das Rezidivrisiko innerhalb von 24 Monaten von 21 % auf 8 % senkt (p=0,04; DGVS S3-Leitlinie 2024,</w:t>
            </w:r>
          </w:p>
        </w:tc>
      </w:tr>
      <w:tr>
        <w:tc>
          <w:tcPr>
            <w:tcW w:type="dxa" w:w="9638"/>
            <w:tcBorders>
              <w:top w:val="nil" w:color="FFFFFF" w:sz="0"/>
              <w:left w:val="thick" w:color="DA7101" w:sz="14"/>
              <w:bottom w:val="nil" w:color="FFFFFF" w:sz="0"/>
              <w:right w:val="single" w:color="DA7101" w:sz="2"/>
            </w:tcBorders>
            <w:shd w:fill="FFF4E5" w:val="clear"/>
            <w:tcMar>
              <w:top w:type="dxa" w:w="60"/>
              <w:left w:type="dxa" w:w="16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8251D"/>
                <w:sz w:val="20"/>
                <w:szCs w:val="20"/>
              </w:rPr>
              <w:t xml:space="preserve">Empfehlung 10.1).</w:t>
            </w:r>
          </w:p>
        </w:tc>
      </w:tr>
      <w:tr>
        <w:tc>
          <w:tcPr>
            <w:tcW w:type="dxa" w:w="9638"/>
            <w:tcBorders>
              <w:top w:val="nil" w:color="FFFFFF" w:sz="0"/>
              <w:left w:val="thick" w:color="DA7101" w:sz="14"/>
              <w:bottom w:val="nil" w:color="FFFFFF" w:sz="0"/>
              <w:right w:val="single" w:color="DA7101" w:sz="2"/>
            </w:tcBorders>
            <w:shd w:fill="FFF4E5" w:val="clear"/>
            <w:tcMar>
              <w:top w:type="dxa" w:w="60"/>
              <w:left w:type="dxa" w:w="16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8251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638"/>
            <w:tcBorders>
              <w:top w:val="nil" w:color="FFFFFF" w:sz="0"/>
              <w:left w:val="thick" w:color="DA7101" w:sz="14"/>
              <w:bottom w:val="nil" w:color="FFFFFF" w:sz="0"/>
              <w:right w:val="single" w:color="DA7101" w:sz="2"/>
            </w:tcBorders>
            <w:shd w:fill="FFF4E5" w:val="clear"/>
            <w:tcMar>
              <w:top w:type="dxa" w:w="60"/>
              <w:left w:type="dxa" w:w="16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8251D"/>
                <w:sz w:val="20"/>
                <w:szCs w:val="20"/>
              </w:rPr>
              <w:t xml:space="preserve">Empfehlung:</w:t>
            </w:r>
          </w:p>
        </w:tc>
      </w:tr>
      <w:tr>
        <w:tc>
          <w:tcPr>
            <w:tcW w:type="dxa" w:w="9638"/>
            <w:tcBorders>
              <w:top w:val="nil" w:color="FFFFFF" w:sz="0"/>
              <w:left w:val="thick" w:color="DA7101" w:sz="14"/>
              <w:bottom w:val="nil" w:color="FFFFFF" w:sz="0"/>
              <w:right w:val="single" w:color="DA7101" w:sz="2"/>
            </w:tcBorders>
            <w:shd w:fill="FFF4E5" w:val="clear"/>
            <w:tcMar>
              <w:top w:type="dxa" w:w="60"/>
              <w:left w:type="dxa" w:w="16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8251D"/>
                <w:sz w:val="20"/>
                <w:szCs w:val="20"/>
              </w:rPr>
              <w:t xml:space="preserve">– Dringende Alkoholkarenz – vollständige Abstinenz ist der einzige gesicherte Schutz vor Rezidiv</w:t>
            </w:r>
          </w:p>
        </w:tc>
      </w:tr>
      <w:tr>
        <w:tc>
          <w:tcPr>
            <w:tcW w:type="dxa" w:w="9638"/>
            <w:tcBorders>
              <w:top w:val="nil" w:color="FFFFFF" w:sz="0"/>
              <w:left w:val="thick" w:color="DA7101" w:sz="14"/>
              <w:bottom w:val="nil" w:color="FFFFFF" w:sz="0"/>
              <w:right w:val="single" w:color="DA7101" w:sz="2"/>
            </w:tcBorders>
            <w:shd w:fill="FFF4E5" w:val="clear"/>
            <w:tcMar>
              <w:top w:type="dxa" w:w="60"/>
              <w:left w:type="dxa" w:w="16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8251D"/>
                <w:sz w:val="20"/>
                <w:szCs w:val="20"/>
              </w:rPr>
              <w:t xml:space="preserve">   und Progression zur chronischen Pankreatitis</w:t>
            </w:r>
          </w:p>
        </w:tc>
      </w:tr>
      <w:tr>
        <w:tc>
          <w:tcPr>
            <w:tcW w:type="dxa" w:w="9638"/>
            <w:tcBorders>
              <w:top w:val="nil" w:color="FFFFFF" w:sz="0"/>
              <w:left w:val="thick" w:color="DA7101" w:sz="14"/>
              <w:bottom w:val="nil" w:color="FFFFFF" w:sz="0"/>
              <w:right w:val="single" w:color="DA7101" w:sz="2"/>
            </w:tcBorders>
            <w:shd w:fill="FFF4E5" w:val="clear"/>
            <w:tcMar>
              <w:top w:type="dxa" w:w="60"/>
              <w:left w:type="dxa" w:w="16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8251D"/>
                <w:sz w:val="20"/>
                <w:szCs w:val="20"/>
              </w:rPr>
              <w:t xml:space="preserve">– Überweisung zu Suchtmedizin / strukturierter Alkoholberatung</w:t>
            </w:r>
          </w:p>
        </w:tc>
      </w:tr>
      <w:tr>
        <w:tc>
          <w:tcPr>
            <w:tcW w:type="dxa" w:w="9638"/>
            <w:tcBorders>
              <w:top w:val="nil" w:color="FFFFFF" w:sz="0"/>
              <w:left w:val="thick" w:color="DA7101" w:sz="14"/>
              <w:bottom w:val="nil" w:color="FFFFFF" w:sz="0"/>
              <w:right w:val="single" w:color="DA7101" w:sz="2"/>
            </w:tcBorders>
            <w:shd w:fill="FFF4E5" w:val="clear"/>
            <w:tcMar>
              <w:top w:type="dxa" w:w="60"/>
              <w:left w:type="dxa" w:w="16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8251D"/>
                <w:sz w:val="20"/>
                <w:szCs w:val="20"/>
              </w:rPr>
              <w:t xml:space="preserve">– Nachsorge in gastroenterologischer Ambulanz nach 4–6 Wochen</w:t>
            </w:r>
          </w:p>
        </w:tc>
      </w:tr>
      <w:tr>
        <w:tc>
          <w:tcPr>
            <w:tcW w:type="dxa" w:w="9638"/>
            <w:tcBorders>
              <w:top w:val="nil" w:color="FFFFFF" w:sz="0"/>
              <w:left w:val="thick" w:color="DA7101" w:sz="14"/>
              <w:bottom w:val="single" w:color="DA7101" w:sz="2"/>
              <w:right w:val="single" w:color="DA7101" w:sz="2"/>
            </w:tcBorders>
            <w:shd w:fill="FFF4E5" w:val="clear"/>
            <w:tcMar>
              <w:top w:type="dxa" w:w="60"/>
              <w:left w:type="dxa" w:w="16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8251D"/>
                <w:sz w:val="20"/>
                <w:szCs w:val="20"/>
              </w:rPr>
              <w:t xml:space="preserve">– Bei Rezidiv: erneute vollständige Abklärung inkl. Bildgebung</w:t>
            </w:r>
          </w:p>
        </w:tc>
      </w:tr>
    </w:tbl>
    <w:p>
      <w:pPr>
        <w:spacing w:after="0" w:before="160"/>
      </w:pPr>
    </w:p>
    <w:p>
      <w:pPr>
        <w:pBdr>
          <w:bottom w:val="single" w:color="D4D1CA" w:sz="6"/>
        </w:pBdr>
        <w:spacing w:after="120" w:before="120"/>
      </w:pPr>
    </w:p>
    <w:p>
      <w:pPr>
        <w:shd w:fill="01696F" w:val="clear"/>
        <w:spacing w:after="0" w:before="340"/>
        <w:ind w:left="0" w:right="0"/>
      </w:pPr>
      <w:r>
        <w:rPr>
          <w:rFonts w:ascii="Calibri" w:cs="Calibri" w:eastAsia="Calibri" w:hAnsi="Calibri"/>
          <w:b/>
          <w:bCs/>
          <w:color w:val="FFFFFF"/>
          <w:sz w:val="28"/>
          <w:szCs w:val="28"/>
        </w:rPr>
        <w:t xml:space="preserve">Nachsorge-Übersicht nach Schweregrad</w:t>
      </w:r>
    </w:p>
    <w:p>
      <w:pPr>
        <w:spacing w:after="0" w:before="1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000"/>
        <w:gridCol w:w="2400"/>
        <w:gridCol w:w="3038"/>
      </w:tblGrid>
      <w:tr>
        <w:tc>
          <w:tcPr>
            <w:tcW w:type="dxa" w:w="2200"/>
            <w:tcBorders>
              <w:top w:val="single" w:color="1B474D" w:sz="2"/>
              <w:left w:val="single" w:color="1B474D" w:sz="2"/>
              <w:bottom w:val="single" w:color="1B474D" w:sz="2"/>
              <w:right w:val="single" w:color="1B474D" w:sz="2"/>
            </w:tcBorders>
            <w:shd w:fill="01696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Konstellation</w:t>
            </w:r>
          </w:p>
        </w:tc>
        <w:tc>
          <w:tcPr>
            <w:tcW w:type="dxa" w:w="2000"/>
            <w:tcBorders>
              <w:top w:val="single" w:color="1B474D" w:sz="2"/>
              <w:left w:val="single" w:color="1B474D" w:sz="2"/>
              <w:bottom w:val="single" w:color="1B474D" w:sz="2"/>
              <w:right w:val="single" w:color="1B474D" w:sz="2"/>
            </w:tcBorders>
            <w:shd w:fill="01696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Nachsorgeintervall</w:t>
            </w:r>
          </w:p>
        </w:tc>
        <w:tc>
          <w:tcPr>
            <w:tcW w:type="dxa" w:w="2400"/>
            <w:tcBorders>
              <w:top w:val="single" w:color="1B474D" w:sz="2"/>
              <w:left w:val="single" w:color="1B474D" w:sz="2"/>
              <w:bottom w:val="single" w:color="1B474D" w:sz="2"/>
              <w:right w:val="single" w:color="1B474D" w:sz="2"/>
            </w:tcBorders>
            <w:shd w:fill="01696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Bildgebung</w:t>
            </w:r>
          </w:p>
        </w:tc>
        <w:tc>
          <w:tcPr>
            <w:tcW w:type="dxa" w:w="3038"/>
            <w:tcBorders>
              <w:top w:val="single" w:color="1B474D" w:sz="2"/>
              <w:left w:val="single" w:color="1B474D" w:sz="2"/>
              <w:bottom w:val="single" w:color="1B474D" w:sz="2"/>
              <w:right w:val="single" w:color="1B474D" w:sz="2"/>
            </w:tcBorders>
            <w:shd w:fill="01696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Besonderheiten</w:t>
            </w:r>
          </w:p>
        </w:tc>
      </w:tr>
      <w:tr>
        <w:tc>
          <w:tcPr>
            <w:tcW w:type="dxa" w:w="2200"/>
            <w:tcBorders>
              <w:top w:val="single" w:color="D4D1CA" w:sz="1"/>
              <w:left w:val="single" w:color="D4D1CA" w:sz="1"/>
              <w:bottom w:val="single" w:color="D4D1CA" w:sz="1"/>
              <w:right w:val="single" w:color="D4D1CA" w:sz="1"/>
            </w:tcBorders>
            <w:shd w:fill="EEF7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8251D"/>
                <w:sz w:val="19"/>
                <w:szCs w:val="19"/>
              </w:rPr>
              <w:t xml:space="preserve">Milde AP, klare Ätiologie, beschwerdefrei</w:t>
            </w:r>
          </w:p>
        </w:tc>
        <w:tc>
          <w:tcPr>
            <w:tcW w:type="dxa" w:w="2000"/>
            <w:tcBorders>
              <w:top w:val="single" w:color="D4D1CA" w:sz="1"/>
              <w:left w:val="single" w:color="D4D1CA" w:sz="1"/>
              <w:bottom w:val="single" w:color="D4D1CA" w:sz="1"/>
              <w:right w:val="single" w:color="D4D1CA" w:sz="1"/>
            </w:tcBorders>
            <w:shd w:fill="EEF7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8251D"/>
                <w:sz w:val="19"/>
                <w:szCs w:val="19"/>
              </w:rPr>
              <w:t xml:space="preserve">Keine routinemäßige Nachsorge nötig</w:t>
            </w:r>
          </w:p>
        </w:tc>
        <w:tc>
          <w:tcPr>
            <w:tcW w:type="dxa" w:w="2400"/>
            <w:tcBorders>
              <w:top w:val="single" w:color="D4D1CA" w:sz="1"/>
              <w:left w:val="single" w:color="D4D1CA" w:sz="1"/>
              <w:bottom w:val="single" w:color="D4D1CA" w:sz="1"/>
              <w:right w:val="single" w:color="D4D1CA" w:sz="1"/>
            </w:tcBorders>
            <w:shd w:fill="EEF7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8251D"/>
                <w:sz w:val="19"/>
                <w:szCs w:val="19"/>
              </w:rPr>
              <w:t xml:space="preserve">Nur bei klinischem Verdacht</w:t>
            </w:r>
          </w:p>
        </w:tc>
        <w:tc>
          <w:tcPr>
            <w:tcW w:type="dxa" w:w="3038"/>
            <w:tcBorders>
              <w:top w:val="single" w:color="D4D1CA" w:sz="1"/>
              <w:left w:val="single" w:color="D4D1CA" w:sz="1"/>
              <w:bottom w:val="single" w:color="D4D1CA" w:sz="1"/>
              <w:right w:val="single" w:color="D4D1CA" w:sz="1"/>
            </w:tcBorders>
            <w:shd w:fill="EEF7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8251D"/>
                <w:sz w:val="19"/>
                <w:szCs w:val="19"/>
              </w:rPr>
              <w:t xml:space="preserve">–</w:t>
            </w:r>
          </w:p>
        </w:tc>
      </w:tr>
      <w:tr>
        <w:tc>
          <w:tcPr>
            <w:tcW w:type="dxa" w:w="2200"/>
            <w:tcBorders>
              <w:top w:val="single" w:color="D4D1CA" w:sz="1"/>
              <w:left w:val="single" w:color="D4D1CA" w:sz="1"/>
              <w:bottom w:val="single" w:color="D4D1CA" w:sz="1"/>
              <w:right w:val="single" w:color="D4D1CA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8251D"/>
                <w:sz w:val="19"/>
                <w:szCs w:val="19"/>
              </w:rPr>
              <w:t xml:space="preserve">Nicht-milde AP / Nekrose</w:t>
            </w:r>
          </w:p>
        </w:tc>
        <w:tc>
          <w:tcPr>
            <w:tcW w:type="dxa" w:w="2000"/>
            <w:tcBorders>
              <w:top w:val="single" w:color="D4D1CA" w:sz="1"/>
              <w:left w:val="single" w:color="D4D1CA" w:sz="1"/>
              <w:bottom w:val="single" w:color="D4D1CA" w:sz="1"/>
              <w:right w:val="single" w:color="D4D1CA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8251D"/>
                <w:sz w:val="19"/>
                <w:szCs w:val="19"/>
              </w:rPr>
              <w:t xml:space="preserve">4–6 Wochen, dann jährlich ≥5 Jahre</w:t>
            </w:r>
          </w:p>
        </w:tc>
        <w:tc>
          <w:tcPr>
            <w:tcW w:type="dxa" w:w="2400"/>
            <w:tcBorders>
              <w:top w:val="single" w:color="D4D1CA" w:sz="1"/>
              <w:left w:val="single" w:color="D4D1CA" w:sz="1"/>
              <w:bottom w:val="single" w:color="D4D1CA" w:sz="1"/>
              <w:right w:val="single" w:color="D4D1CA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8251D"/>
                <w:sz w:val="19"/>
                <w:szCs w:val="19"/>
              </w:rPr>
              <w:t xml:space="preserve">CT/MRT bei Komplikationen; FU-Bildgebung jährlich</w:t>
            </w:r>
          </w:p>
        </w:tc>
        <w:tc>
          <w:tcPr>
            <w:tcW w:type="dxa" w:w="3038"/>
            <w:tcBorders>
              <w:top w:val="single" w:color="D4D1CA" w:sz="1"/>
              <w:left w:val="single" w:color="D4D1CA" w:sz="1"/>
              <w:bottom w:val="single" w:color="D4D1CA" w:sz="1"/>
              <w:right w:val="single" w:color="D4D1CA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8251D"/>
                <w:sz w:val="19"/>
                <w:szCs w:val="19"/>
              </w:rPr>
              <w:t xml:space="preserve">Exokrine + endokrine Funktion prüfen</w:t>
            </w:r>
          </w:p>
        </w:tc>
      </w:tr>
      <w:tr>
        <w:tc>
          <w:tcPr>
            <w:tcW w:type="dxa" w:w="2200"/>
            <w:tcBorders>
              <w:top w:val="single" w:color="D4D1CA" w:sz="1"/>
              <w:left w:val="single" w:color="D4D1CA" w:sz="1"/>
              <w:bottom w:val="single" w:color="D4D1CA" w:sz="1"/>
              <w:right w:val="single" w:color="D4D1CA" w:sz="1"/>
            </w:tcBorders>
            <w:shd w:fill="EEF7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8251D"/>
                <w:sz w:val="19"/>
                <w:szCs w:val="19"/>
              </w:rPr>
              <w:t xml:space="preserve">Kryptogene AP &gt;40J</w:t>
            </w:r>
          </w:p>
        </w:tc>
        <w:tc>
          <w:tcPr>
            <w:tcW w:type="dxa" w:w="2000"/>
            <w:tcBorders>
              <w:top w:val="single" w:color="D4D1CA" w:sz="1"/>
              <w:left w:val="single" w:color="D4D1CA" w:sz="1"/>
              <w:bottom w:val="single" w:color="D4D1CA" w:sz="1"/>
              <w:right w:val="single" w:color="D4D1CA" w:sz="1"/>
            </w:tcBorders>
            <w:shd w:fill="EEF7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8251D"/>
                <w:sz w:val="19"/>
                <w:szCs w:val="19"/>
              </w:rPr>
              <w:t xml:space="preserve">4–6 Wochen, dann jährlich 2 Jahre</w:t>
            </w:r>
          </w:p>
        </w:tc>
        <w:tc>
          <w:tcPr>
            <w:tcW w:type="dxa" w:w="2400"/>
            <w:tcBorders>
              <w:top w:val="single" w:color="D4D1CA" w:sz="1"/>
              <w:left w:val="single" w:color="D4D1CA" w:sz="1"/>
              <w:bottom w:val="single" w:color="D4D1CA" w:sz="1"/>
              <w:right w:val="single" w:color="D4D1CA" w:sz="1"/>
            </w:tcBorders>
            <w:shd w:fill="EEF7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8251D"/>
                <w:sz w:val="19"/>
                <w:szCs w:val="19"/>
              </w:rPr>
              <w:t xml:space="preserve">MRT/MRCP oder EUS obligat</w:t>
            </w:r>
          </w:p>
        </w:tc>
        <w:tc>
          <w:tcPr>
            <w:tcW w:type="dxa" w:w="3038"/>
            <w:tcBorders>
              <w:top w:val="single" w:color="D4D1CA" w:sz="1"/>
              <w:left w:val="single" w:color="D4D1CA" w:sz="1"/>
              <w:bottom w:val="single" w:color="D4D1CA" w:sz="1"/>
              <w:right w:val="single" w:color="D4D1CA" w:sz="1"/>
            </w:tcBorders>
            <w:shd w:fill="EEF7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8251D"/>
                <w:sz w:val="19"/>
                <w:szCs w:val="19"/>
              </w:rPr>
              <w:t xml:space="preserve">CA19-9; IPMN-Screening</w:t>
            </w:r>
          </w:p>
        </w:tc>
      </w:tr>
      <w:tr>
        <w:tc>
          <w:tcPr>
            <w:tcW w:type="dxa" w:w="2200"/>
            <w:tcBorders>
              <w:top w:val="single" w:color="D4D1CA" w:sz="1"/>
              <w:left w:val="single" w:color="D4D1CA" w:sz="1"/>
              <w:bottom w:val="single" w:color="D4D1CA" w:sz="1"/>
              <w:right w:val="single" w:color="D4D1CA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8251D"/>
                <w:sz w:val="19"/>
                <w:szCs w:val="19"/>
              </w:rPr>
              <w:t xml:space="preserve">Alkohol-induzierte AP</w:t>
            </w:r>
          </w:p>
        </w:tc>
        <w:tc>
          <w:tcPr>
            <w:tcW w:type="dxa" w:w="2000"/>
            <w:tcBorders>
              <w:top w:val="single" w:color="D4D1CA" w:sz="1"/>
              <w:left w:val="single" w:color="D4D1CA" w:sz="1"/>
              <w:bottom w:val="single" w:color="D4D1CA" w:sz="1"/>
              <w:right w:val="single" w:color="D4D1CA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8251D"/>
                <w:sz w:val="19"/>
                <w:szCs w:val="19"/>
              </w:rPr>
              <w:t xml:space="preserve">4–6 Wochen, bei Rezidiv sofort</w:t>
            </w:r>
          </w:p>
        </w:tc>
        <w:tc>
          <w:tcPr>
            <w:tcW w:type="dxa" w:w="2400"/>
            <w:tcBorders>
              <w:top w:val="single" w:color="D4D1CA" w:sz="1"/>
              <w:left w:val="single" w:color="D4D1CA" w:sz="1"/>
              <w:bottom w:val="single" w:color="D4D1CA" w:sz="1"/>
              <w:right w:val="single" w:color="D4D1CA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8251D"/>
                <w:sz w:val="19"/>
                <w:szCs w:val="19"/>
              </w:rPr>
              <w:t xml:space="preserve">Bildgebung bei Komplikationen</w:t>
            </w:r>
          </w:p>
        </w:tc>
        <w:tc>
          <w:tcPr>
            <w:tcW w:type="dxa" w:w="3038"/>
            <w:tcBorders>
              <w:top w:val="single" w:color="D4D1CA" w:sz="1"/>
              <w:left w:val="single" w:color="D4D1CA" w:sz="1"/>
              <w:bottom w:val="single" w:color="D4D1CA" w:sz="1"/>
              <w:right w:val="single" w:color="D4D1CA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8251D"/>
                <w:sz w:val="19"/>
                <w:szCs w:val="19"/>
              </w:rPr>
              <w:t xml:space="preserve">Suchtberatung, Alkoholkarenz</w:t>
            </w:r>
          </w:p>
        </w:tc>
      </w:tr>
      <w:tr>
        <w:tc>
          <w:tcPr>
            <w:tcW w:type="dxa" w:w="2200"/>
            <w:tcBorders>
              <w:top w:val="single" w:color="D4D1CA" w:sz="1"/>
              <w:left w:val="single" w:color="D4D1CA" w:sz="1"/>
              <w:bottom w:val="single" w:color="D4D1CA" w:sz="1"/>
              <w:right w:val="single" w:color="D4D1CA" w:sz="1"/>
            </w:tcBorders>
            <w:shd w:fill="EEF7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8251D"/>
                <w:sz w:val="19"/>
                <w:szCs w:val="19"/>
              </w:rPr>
              <w:t xml:space="preserve">Heredit. Pankreatitis (PRSS1)</w:t>
            </w:r>
          </w:p>
        </w:tc>
        <w:tc>
          <w:tcPr>
            <w:tcW w:type="dxa" w:w="2000"/>
            <w:tcBorders>
              <w:top w:val="single" w:color="D4D1CA" w:sz="1"/>
              <w:left w:val="single" w:color="D4D1CA" w:sz="1"/>
              <w:bottom w:val="single" w:color="D4D1CA" w:sz="1"/>
              <w:right w:val="single" w:color="D4D1CA" w:sz="1"/>
            </w:tcBorders>
            <w:shd w:fill="EEF7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8251D"/>
                <w:sz w:val="19"/>
                <w:szCs w:val="19"/>
              </w:rPr>
              <w:t xml:space="preserve">Jährlich ab 40 Jahren</w:t>
            </w:r>
          </w:p>
        </w:tc>
        <w:tc>
          <w:tcPr>
            <w:tcW w:type="dxa" w:w="2400"/>
            <w:tcBorders>
              <w:top w:val="single" w:color="D4D1CA" w:sz="1"/>
              <w:left w:val="single" w:color="D4D1CA" w:sz="1"/>
              <w:bottom w:val="single" w:color="D4D1CA" w:sz="1"/>
              <w:right w:val="single" w:color="D4D1CA" w:sz="1"/>
            </w:tcBorders>
            <w:shd w:fill="EEF7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8251D"/>
                <w:sz w:val="19"/>
                <w:szCs w:val="19"/>
              </w:rPr>
              <w:t xml:space="preserve">MRT/MRCP oder EUS</w:t>
            </w:r>
          </w:p>
        </w:tc>
        <w:tc>
          <w:tcPr>
            <w:tcW w:type="dxa" w:w="3038"/>
            <w:tcBorders>
              <w:top w:val="single" w:color="D4D1CA" w:sz="1"/>
              <w:left w:val="single" w:color="D4D1CA" w:sz="1"/>
              <w:bottom w:val="single" w:color="D4D1CA" w:sz="1"/>
              <w:right w:val="single" w:color="D4D1CA" w:sz="1"/>
            </w:tcBorders>
            <w:shd w:fill="EEF7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8251D"/>
                <w:sz w:val="19"/>
                <w:szCs w:val="19"/>
              </w:rPr>
              <w:t xml:space="preserve">Spezialisiertes Zentrum; KRK-Risiko 44% kumulativ bis 70J</w:t>
            </w:r>
          </w:p>
        </w:tc>
      </w:tr>
    </w:tbl>
    <w:p>
      <w:pPr>
        <w:spacing w:after="0" w:before="80"/>
      </w:pPr>
    </w:p>
    <w:p>
      <w:pPr>
        <w:spacing w:after="60" w:before="60"/>
      </w:pPr>
      <w:r>
        <w:rPr>
          <w:rFonts w:ascii="Calibri" w:cs="Calibri" w:eastAsia="Calibri" w:hAnsi="Calibri"/>
          <w:i/>
          <w:iCs/>
          <w:color w:val="7A7974"/>
          <w:sz w:val="18"/>
          <w:szCs w:val="18"/>
        </w:rPr>
        <w:t xml:space="preserve">AP = akute Pankreatitis · IPMN = intraduktale papillär-muzinöse Neoplasie · PDAC = duktales Pankreasadenokarzinom</w:t>
      </w:r>
    </w:p>
    <w:p>
      <w:pPr>
        <w:spacing w:after="0" w:before="200"/>
      </w:pPr>
    </w:p>
    <w:p>
      <w:pPr>
        <w:spacing w:before="80"/>
        <w:jc w:val="center"/>
      </w:pPr>
      <w:r>
        <w:rPr>
          <w:rFonts w:ascii="Calibri" w:cs="Calibri" w:eastAsia="Calibri" w:hAnsi="Calibri"/>
          <w:i/>
          <w:iCs/>
          <w:color w:val="7A7974"/>
          <w:sz w:val="18"/>
          <w:szCs w:val="18"/>
        </w:rPr>
        <w:t xml:space="preserve">Quelle: DGVS S3-Leitlinie Pankreatitis 2024 · https://www.dgvs.de/leitlinien/pankreatitis</w:t>
      </w:r>
    </w:p>
    <w:sectPr>
      <w:headerReference w:type="default" r:id="rId7"/>
      <w:footerReference w:type="default" r:id="rId8"/>
      <w:pgSz w:w="11906" w:h="16838" w:orient="portrait"/>
      <w:pgMar w:top="1400" w:right="1134" w:bottom="1400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4D1CA" w:sz="4"/>
      </w:pBdr>
      <w:jc w:val="center"/>
    </w:pPr>
    <w:r>
      <w:rPr>
        <w:rFonts w:ascii="Calibri" w:cs="Calibri" w:eastAsia="Calibri" w:hAnsi="Calibri"/>
        <w:color w:val="7A7974"/>
        <w:sz w:val="16"/>
        <w:szCs w:val="16"/>
      </w:rPr>
      <w:t xml:space="preserve">Dr. med. Kristin Koschny · Gastroenterologie · Stand: April 2026 · Quelle: DGVS S3-Leitlinie Pankreatitis 2024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i/>
        <w:iCs/>
        <w:color w:val="7A7974"/>
        <w:sz w:val="16"/>
        <w:szCs w:val="16"/>
      </w:rPr>
      <w:t xml:space="preserve">Pankreatitis – Nachsorge-Textbausteine · Dr. K. Koschny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2026-04-04T13:13:08.541Z</dcterms:created>
  <dcterms:modified xsi:type="dcterms:W3CDTF">2026-04-04T13:13:08.541Z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