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C4E54"/>
          <w:sz w:val="36"/>
          <w:szCs w:val="36"/>
        </w:rPr>
        <w:t xml:space="preserve">H. pylori – Textbausteine</w:t>
      </w:r>
    </w:p>
    <w:p>
      <w:pPr>
        <w:spacing w:after="240"/>
      </w:pPr>
      <w:r>
        <w:rPr>
          <w:rFonts w:ascii="Calibri" w:cs="Calibri" w:eastAsia="Calibri" w:hAnsi="Calibri"/>
          <w:i/>
          <w:iCs/>
          <w:color w:val="6B7F80"/>
          <w:sz w:val="19"/>
          <w:szCs w:val="19"/>
        </w:rPr>
        <w:t xml:space="preserve">Dr. med. K. Koschny · Gastroenterologie · GFGB 2026</w:t>
      </w:r>
    </w:p>
    <w:p>
      <w:pPr>
        <w:spacing w:after="120" w:before="360"/>
      </w:pPr>
      <w:r>
        <w:rPr>
          <w:rFonts w:ascii="Calibri" w:cs="Calibri" w:eastAsia="Calibri" w:hAnsi="Calibri"/>
          <w:b/>
          <w:bCs/>
          <w:color w:val="0C4E54"/>
          <w:sz w:val="28"/>
          <w:szCs w:val="28"/>
        </w:rPr>
        <w:t xml:space="preserve">Baustein 1 – Screening Erstgradigverwandte bei Magenkarzinom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>Bei nachgewiesenem Magenkarzinom empfehlen wir entsprechend der aktuellen Leitlinien ein Screening erstgradig Verwandter auf Helicobacter pylori. Bei positivem Nachweis sollte eine Eradikation eingeleitet werden.</w:t>
      </w:r>
    </w:p>
    <w:p>
      <w:pPr>
        <w:spacing w:after="200" w:before="200"/>
      </w:pPr>
      <w:r>
        <w:rPr>
          <w:color w:val="c8dede"/>
          <w:sz w:val="18"/>
          <w:szCs w:val="18"/>
        </w:rPr>
        <w:t xml:space="preserve">─────────────────────────────────────────</w:t>
      </w:r>
    </w:p>
    <w:p>
      <w:pPr>
        <w:spacing w:after="120" w:before="360"/>
      </w:pPr>
      <w:r>
        <w:rPr>
          <w:rFonts w:ascii="Calibri" w:cs="Calibri" w:eastAsia="Calibri" w:hAnsi="Calibri"/>
          <w:b/>
          <w:bCs/>
          <w:color w:val="0C4E54"/>
          <w:sz w:val="28"/>
          <w:szCs w:val="28"/>
        </w:rPr>
        <w:t xml:space="preserve">Baustein 2 – Positiver H. pylori-Nachweis (Routinefall)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Befund: Helicobacter-pylori-Infektion gesichert (Nachweis via [¹³C-Atemtest / Stuhl-Antigen / Histologie]).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>Empfehlung: Wir empfehlen eine Eradikationstherapie als Bismuth-Quadruple-Therapie (Pylera® × 10 Tage).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Eradikationskontrolle: ¹³C-Harnstoff-Atemtest frühestens 4 Wochen nach Therapieende; PPI-Pause mindestens 2 Wochen vor dem Test.</w:t>
      </w:r>
    </w:p>
    <w:p>
      <w:pPr>
        <w:spacing w:after="200" w:before="200"/>
      </w:pPr>
      <w:r>
        <w:rPr>
          <w:color w:val="c8dede"/>
          <w:sz w:val="18"/>
          <w:szCs w:val="18"/>
        </w:rPr>
        <w:t xml:space="preserve">─────────────────────────────────────────</w:t>
      </w:r>
    </w:p>
    <w:p>
      <w:pPr>
        <w:spacing w:after="120" w:before="360"/>
      </w:pPr>
      <w:r>
        <w:rPr>
          <w:rFonts w:ascii="Calibri" w:cs="Calibri" w:eastAsia="Calibri" w:hAnsi="Calibri"/>
          <w:b/>
          <w:bCs/>
          <w:color w:val="0C4E54"/>
          <w:sz w:val="28"/>
          <w:szCs w:val="28"/>
        </w:rPr>
        <w:t xml:space="preserve">Baustein 3 – Haushaltsmitglieder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Wir weisen darauf hin, dass H. pylori intrafamiliär übertragen werden kann. Ein routinemäßiges Screening asymptomatischer Haushaltsmitglieder ist leitliniengemäß nicht generell empfohlen. Eine Testung empfehlen wir bei Dyspepsie-Symptomatik, Herkunft aus einem Hochprävalenzland oder auf ausdrücklichen Patientenwunsch.</w:t>
      </w:r>
    </w:p>
    <w:p>
      <w:pPr>
        <w:spacing w:after="200" w:before="200"/>
      </w:pPr>
      <w:r>
        <w:rPr>
          <w:color w:val="c8dede"/>
          <w:sz w:val="18"/>
          <w:szCs w:val="18"/>
        </w:rPr>
        <w:t xml:space="preserve">─────────────────────────────────────────</w:t>
      </w:r>
    </w:p>
    <w:p>
      <w:pPr>
        <w:spacing w:after="120" w:before="360"/>
      </w:pPr>
      <w:r>
        <w:rPr>
          <w:rFonts w:ascii="Calibri" w:cs="Calibri" w:eastAsia="Calibri" w:hAnsi="Calibri"/>
          <w:b/>
          <w:bCs/>
          <w:color w:val="0C4E54"/>
          <w:sz w:val="28"/>
          <w:szCs w:val="28"/>
        </w:rPr>
        <w:t xml:space="preserve">Baustein 4 – Eradikationskontrolle nach Therapie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Wir bitten um Eradikationskontrolle mittels ¹³C-Harnstoff-Atemtest frühestens 4 Wochen nach Therapieende (PPI-Pause ≥ 2 Wochen, Antibiotika-Pause ≥ 4 Wochen vor dem Test). Bei Therapieversagen empfehlen wir eine Resistenztestung vor Einleitung einer Rescue-Therapie.</w:t>
      </w:r>
    </w:p>
    <w:p>
      <w:pPr>
        <w:spacing w:after="200" w:before="200"/>
      </w:pPr>
      <w:r>
        <w:rPr>
          <w:color w:val="c8dede"/>
          <w:sz w:val="18"/>
          <w:szCs w:val="18"/>
        </w:rPr>
        <w:t xml:space="preserve">─────────────────────────────────────────</w:t>
      </w:r>
    </w:p>
    <w:p>
      <w:pPr>
        <w:spacing w:after="120" w:before="360"/>
      </w:pPr>
      <w:r>
        <w:rPr>
          <w:rFonts w:ascii="Calibri" w:cs="Calibri" w:eastAsia="Calibri" w:hAnsi="Calibri"/>
          <w:b/>
          <w:bCs/>
          <w:color w:val="0C4E54"/>
          <w:sz w:val="28"/>
          <w:szCs w:val="28"/>
        </w:rPr>
        <w:t xml:space="preserve">Baustein 5 – Probiotika begleitend zur Eradikationstherapie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Begleitend zur Eradikationstherapie empfehlen wir den Einsatz von Probiotika – insbesondere bei Risikopatienten, z. B. nach vorherigem Therapieabbruch, bekannter Unverträglichkeit oder Rezidiv.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Probiotika können die Eradikationsrate verbessern und gastrointestinale Nebenwirkungen der Antibiotikatherapie (Diarrhö, Übelkeit, Erbrechen) deutlich reduzieren. Gut geeignet sind Präparate auf Basis von Bifidobacterium longum, Lactobacillus-Spezies oder Saccharomyces boulardii. Einnahme für die Dauer der Therapie, idealerweise bereits einige Tage vorher beginnen.</w:t>
      </w:r>
    </w:p>
    <w:p>
      <w:pPr>
        <w:spacing w:after="80" w:before="60"/>
      </w:pPr>
      <w:r>
        <w:rPr>
          <w:rFonts w:ascii="Calibri" w:cs="Calibri" w:eastAsia="Calibri" w:hAnsi="Calibri"/>
          <w:i/>
          <w:iCs/>
          <w:color w:val="6B7F80"/>
          <w:sz w:val="19"/>
          <w:szCs w:val="19"/>
        </w:rPr>
        <w:t xml:space="preserve">Cave: Probiotika nicht zeitgleich mit dem Antibiotikum einnehmen – mindestens 2 Stunden Abstand einhalten.</w:t>
      </w:r>
    </w:p>
    <w:p>
      <w:pPr>
        <w:spacing w:before="480"/>
      </w:pPr>
      <w:r>
        <w:rPr>
          <w:rFonts w:ascii="Calibri" w:cs="Calibri" w:eastAsia="Calibri" w:hAnsi="Calibri"/>
          <w:i/>
          <w:iCs/>
          <w:color w:val="6B7F80"/>
          <w:sz w:val="18"/>
          <w:szCs w:val="18"/>
        </w:rPr>
        <w:t xml:space="preserve">Dr. med. Kristin Koschny · Assistenzärztin Gastroenterologie · GFGB-Jahrestagung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2026-04-02T21:09:32.422Z</dcterms:created>
  <dcterms:modified xsi:type="dcterms:W3CDTF">2026-04-02T21:09:32.422Z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