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2024-04-19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higher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among region?</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We also explore the differences in the outcome between regions using an ANOVA test and Tukey’s Honestly Significant Difference test for pairwise comparisons within ANOVA.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We chose these performance metrics because they are commonly used for linear regression models like the ones we have created. RMSE provides an average magnitude of the error in the predictors, and MAE provides an average absolute difference between the predicted and actual values. We include both metrics to increase the validity of our results. Once we decided on the final model,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This process is similar to cross-validation because it relies on resampling the training data. Lastly,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 a grid search to ensure that we try all combinations of the parameters in our grid. We complete the tuning process with a 5-fold cross-validation repeated 5 times.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We set the number of trees to 300 because it strikes a good balance between achieving the best performance metrics and the processing time required to do so. Each of these processes are crucial in determining which model performs best for our dataset. Result tables for each model and test are stored in the results &gt; tables folder. Figures created from cross-validation, boostrapping,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between each variable and the outcome. We explored the region variable further because our main goal is to understand the difference in outcome by region.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Summary Table Of Continuous Variables by Region</w:t>
            </w:r>
          </w:p>
          <w:p>
            <w:pPr>
              <w:pStyle w:val="Compact"/>
              <w:jc w:val="center"/>
            </w:pPr>
            <w:r>
              <w:rPr>
                <w:bCs/>
                <w:b/>
              </w:rPr>
              <w:t xml:space="preserve">Table 1. Summary Table</w:t>
            </w:r>
          </w:p>
          <w:tbl>
            <w:tblPr>
              <w:tblStyle w:val="Table"/>
              <w:tblW w:type="pct" w:w="5000"/>
              <w:tblLook w:firstRow="1" w:lastRow="0" w:firstColumn="0" w:lastColumn="0" w:noHBand="0" w:noVBand="0" w:val="0020"/>
              <w:jc w:val="start"/>
              <w:tblLayout w:type="fixed"/>
              <w:tblCaption w:val="Table 1. Summary Table"/>
            </w:tblPr>
            <w:tblGrid>
              <w:gridCol w:w="2472"/>
              <w:gridCol w:w="915"/>
              <w:gridCol w:w="824"/>
              <w:gridCol w:w="915"/>
              <w:gridCol w:w="1876"/>
              <w:gridCol w:w="915"/>
            </w:tblGrid>
            <w:tr>
              <w:trPr>
                <w:tblHeader w:val="true"/>
              </w:trPr>
              <w:tc>
                <w:tcPr/>
                <w:p>
                  <w:pPr>
                    <w:pStyle w:val="Compact"/>
                    <w:jc w:val="left"/>
                    <w:jc w:val="center"/>
                  </w:pPr>
                  <w:r>
                    <w:rPr>
                      <w:bCs/>
                      <w:b/>
                    </w:rPr>
                    <w:t xml:space="preserve">Predictor Variable</w:t>
                  </w:r>
                </w:p>
              </w:tc>
              <w:tc>
                <w:tcPr/>
                <w:p>
                  <w:pPr>
                    <w:pStyle w:val="Compact"/>
                    <w:jc w:val="center"/>
                    <w:jc w:val="center"/>
                  </w:pPr>
                  <w:r>
                    <w:rPr>
                      <w:bCs/>
                      <w:b/>
                    </w:rPr>
                    <w:t xml:space="preserve">Africa</w:t>
                  </w:r>
                  <w:r>
                    <w:t xml:space="preserve">, N = 53</w:t>
                  </w:r>
                </w:p>
              </w:tc>
              <w:tc>
                <w:tcPr/>
                <w:p>
                  <w:pPr>
                    <w:pStyle w:val="Compact"/>
                    <w:jc w:val="center"/>
                    <w:jc w:val="center"/>
                  </w:pPr>
                  <w:r>
                    <w:rPr>
                      <w:bCs/>
                      <w:b/>
                    </w:rPr>
                    <w:t xml:space="preserve">Asia</w:t>
                  </w:r>
                  <w:r>
                    <w:t xml:space="preserve">, N = 36</w:t>
                  </w:r>
                </w:p>
              </w:tc>
              <w:tc>
                <w:tcPr/>
                <w:p>
                  <w:pPr>
                    <w:pStyle w:val="Compact"/>
                    <w:jc w:val="center"/>
                    <w:jc w:val="center"/>
                  </w:pPr>
                  <w:r>
                    <w:rPr>
                      <w:bCs/>
                      <w:b/>
                    </w:rPr>
                    <w:t xml:space="preserve">Europe</w:t>
                  </w:r>
                  <w:r>
                    <w:t xml:space="preserve">, N = 11</w:t>
                  </w:r>
                </w:p>
              </w:tc>
              <w:tc>
                <w:tcPr/>
                <w:p>
                  <w:pPr>
                    <w:pStyle w:val="Compact"/>
                    <w:jc w:val="center"/>
                    <w:jc w:val="center"/>
                  </w:pPr>
                  <w:r>
                    <w:rPr>
                      <w:bCs/>
                      <w:b/>
                    </w:rPr>
                    <w:t xml:space="preserve">Latin America/the Caribbean</w:t>
                  </w:r>
                  <w:r>
                    <w:t xml:space="preserve">, N = 24</w:t>
                  </w:r>
                </w:p>
              </w:tc>
              <w:tc>
                <w:tcPr/>
                <w:p>
                  <w:pPr>
                    <w:pStyle w:val="Compact"/>
                    <w:jc w:val="center"/>
                    <w:jc w:val="center"/>
                  </w:pPr>
                  <w:r>
                    <w:rPr>
                      <w:bCs/>
                      <w:b/>
                    </w:rPr>
                    <w:t xml:space="preserve">Oceania</w:t>
                  </w:r>
                  <w:r>
                    <w:t xml:space="preserve">, N = 8</w:t>
                  </w:r>
                </w:p>
              </w:tc>
            </w:tr>
            <w:tr>
              <w:tc>
                <w:tcPr/>
                <w:p>
                  <w:pPr>
                    <w:pStyle w:val="Compact"/>
                    <w:jc w:val="left"/>
                    <w:jc w:val="center"/>
                  </w:pPr>
                  <w:r>
                    <w:t xml:space="preserve">Unintended Pregnancies due to SARC Usage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13</w:t>
                  </w:r>
                </w:p>
              </w:tc>
              <w:tc>
                <w:tcPr/>
                <w:p>
                  <w:pPr>
                    <w:pStyle w:val="Compact"/>
                    <w:jc w:val="center"/>
                    <w:jc w:val="center"/>
                  </w:pPr>
                  <w:r>
                    <w:t xml:space="preserve">14</w:t>
                  </w:r>
                </w:p>
              </w:tc>
              <w:tc>
                <w:tcPr/>
                <w:p>
                  <w:pPr>
                    <w:pStyle w:val="Compact"/>
                    <w:jc w:val="center"/>
                    <w:jc w:val="center"/>
                  </w:pPr>
                  <w:r>
                    <w:t xml:space="preserve">23</w:t>
                  </w:r>
                </w:p>
              </w:tc>
              <w:tc>
                <w:tcPr/>
                <w:p>
                  <w:pPr>
                    <w:pStyle w:val="Compact"/>
                    <w:jc w:val="center"/>
                    <w:jc w:val="center"/>
                  </w:pPr>
                  <w:r>
                    <w:t xml:space="preserve">24</w:t>
                  </w:r>
                </w:p>
              </w:tc>
              <w:tc>
                <w:tcPr/>
                <w:p>
                  <w:pPr>
                    <w:pStyle w:val="Compact"/>
                    <w:jc w:val="center"/>
                    <w:jc w:val="center"/>
                  </w:pPr>
                  <w:r>
                    <w:t xml:space="preserve">6</w:t>
                  </w:r>
                </w:p>
              </w:tc>
            </w:tr>
            <w:tr>
              <w:tc>
                <w:tcPr/>
                <w:p>
                  <w:pPr>
                    <w:pStyle w:val="Compact"/>
                    <w:jc w:val="left"/>
                    <w:jc w:val="center"/>
                  </w:pPr>
                  <w:r>
                    <w:t xml:space="preserve">Range</w:t>
                  </w:r>
                </w:p>
              </w:tc>
              <w:tc>
                <w:tcPr/>
                <w:p>
                  <w:pPr>
                    <w:pStyle w:val="Compact"/>
                    <w:jc w:val="center"/>
                    <w:jc w:val="center"/>
                  </w:pPr>
                  <w:r>
                    <w:t xml:space="preserve">3, 36</w:t>
                  </w:r>
                </w:p>
              </w:tc>
              <w:tc>
                <w:tcPr/>
                <w:p>
                  <w:pPr>
                    <w:pStyle w:val="Compact"/>
                    <w:jc w:val="center"/>
                    <w:jc w:val="center"/>
                  </w:pPr>
                  <w:r>
                    <w:t xml:space="preserve">3, 43</w:t>
                  </w:r>
                </w:p>
              </w:tc>
              <w:tc>
                <w:tcPr/>
                <w:p>
                  <w:pPr>
                    <w:pStyle w:val="Compact"/>
                    <w:jc w:val="center"/>
                    <w:jc w:val="center"/>
                  </w:pPr>
                  <w:r>
                    <w:t xml:space="preserve">2, 39</w:t>
                  </w:r>
                </w:p>
              </w:tc>
              <w:tc>
                <w:tcPr/>
                <w:p>
                  <w:pPr>
                    <w:pStyle w:val="Compact"/>
                    <w:jc w:val="center"/>
                    <w:jc w:val="center"/>
                  </w:pPr>
                  <w:r>
                    <w:t xml:space="preserve">9, 48</w:t>
                  </w:r>
                </w:p>
              </w:tc>
              <w:tc>
                <w:tcPr/>
                <w:p>
                  <w:pPr>
                    <w:pStyle w:val="Compact"/>
                    <w:jc w:val="center"/>
                    <w:jc w:val="center"/>
                  </w:pPr>
                  <w:r>
                    <w:t xml:space="preserve">3, 12</w:t>
                  </w:r>
                </w:p>
              </w:tc>
            </w:tr>
            <w:tr>
              <w:tc>
                <w:tcPr/>
                <w:p>
                  <w:pPr>
                    <w:pStyle w:val="Compact"/>
                    <w:jc w:val="left"/>
                    <w:jc w:val="center"/>
                  </w:pPr>
                  <w:r>
                    <w:t xml:space="preserve">Currently Married Women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60</w:t>
                  </w:r>
                </w:p>
              </w:tc>
              <w:tc>
                <w:tcPr/>
                <w:p>
                  <w:pPr>
                    <w:pStyle w:val="Compact"/>
                    <w:jc w:val="center"/>
                    <w:jc w:val="center"/>
                  </w:pPr>
                  <w:r>
                    <w:t xml:space="preserve">66</w:t>
                  </w:r>
                </w:p>
              </w:tc>
              <w:tc>
                <w:tcPr/>
                <w:p>
                  <w:pPr>
                    <w:pStyle w:val="Compact"/>
                    <w:jc w:val="center"/>
                    <w:jc w:val="center"/>
                  </w:pPr>
                  <w:r>
                    <w:t xml:space="preserve">60</w:t>
                  </w:r>
                </w:p>
              </w:tc>
              <w:tc>
                <w:tcPr/>
                <w:p>
                  <w:pPr>
                    <w:pStyle w:val="Compact"/>
                    <w:jc w:val="center"/>
                    <w:jc w:val="center"/>
                  </w:pPr>
                  <w:r>
                    <w:t xml:space="preserve">54</w:t>
                  </w:r>
                </w:p>
              </w:tc>
              <w:tc>
                <w:tcPr/>
                <w:p>
                  <w:pPr>
                    <w:pStyle w:val="Compact"/>
                    <w:jc w:val="center"/>
                    <w:jc w:val="center"/>
                  </w:pPr>
                  <w:r>
                    <w:t xml:space="preserve">60</w:t>
                  </w:r>
                </w:p>
              </w:tc>
            </w:tr>
            <w:tr>
              <w:tc>
                <w:tcPr/>
                <w:p>
                  <w:pPr>
                    <w:pStyle w:val="Compact"/>
                    <w:jc w:val="left"/>
                    <w:jc w:val="center"/>
                  </w:pPr>
                  <w:r>
                    <w:t xml:space="preserve">Range</w:t>
                  </w:r>
                </w:p>
              </w:tc>
              <w:tc>
                <w:tcPr/>
                <w:p>
                  <w:pPr>
                    <w:pStyle w:val="Compact"/>
                    <w:jc w:val="center"/>
                    <w:jc w:val="center"/>
                  </w:pPr>
                  <w:r>
                    <w:t xml:space="preserve">33, 85</w:t>
                  </w:r>
                </w:p>
              </w:tc>
              <w:tc>
                <w:tcPr/>
                <w:p>
                  <w:pPr>
                    <w:pStyle w:val="Compact"/>
                    <w:jc w:val="center"/>
                    <w:jc w:val="center"/>
                  </w:pPr>
                  <w:r>
                    <w:t xml:space="preserve">44, 82</w:t>
                  </w:r>
                </w:p>
              </w:tc>
              <w:tc>
                <w:tcPr/>
                <w:p>
                  <w:pPr>
                    <w:pStyle w:val="Compact"/>
                    <w:jc w:val="center"/>
                    <w:jc w:val="center"/>
                  </w:pPr>
                  <w:r>
                    <w:t xml:space="preserve">53, 73</w:t>
                  </w:r>
                </w:p>
              </w:tc>
              <w:tc>
                <w:tcPr/>
                <w:p>
                  <w:pPr>
                    <w:pStyle w:val="Compact"/>
                    <w:jc w:val="center"/>
                    <w:jc w:val="center"/>
                  </w:pPr>
                  <w:r>
                    <w:t xml:space="preserve">32, 64</w:t>
                  </w:r>
                </w:p>
              </w:tc>
              <w:tc>
                <w:tcPr/>
                <w:p>
                  <w:pPr>
                    <w:pStyle w:val="Compact"/>
                    <w:jc w:val="center"/>
                    <w:jc w:val="center"/>
                  </w:pPr>
                  <w:r>
                    <w:t xml:space="preserve">51, 66</w:t>
                  </w:r>
                </w:p>
              </w:tc>
            </w:tr>
            <w:tr>
              <w:tc>
                <w:tcPr/>
                <w:p>
                  <w:pPr>
                    <w:pStyle w:val="Compact"/>
                    <w:jc w:val="left"/>
                    <w:jc w:val="center"/>
                  </w:pPr>
                  <w:r>
                    <w:t xml:space="preserve">Never Married Women (%)</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31</w:t>
                  </w:r>
                </w:p>
              </w:tc>
              <w:tc>
                <w:tcPr/>
                <w:p>
                  <w:pPr>
                    <w:pStyle w:val="Compact"/>
                    <w:jc w:val="center"/>
                    <w:jc w:val="center"/>
                  </w:pPr>
                  <w:r>
                    <w:t xml:space="preserve">29</w:t>
                  </w:r>
                </w:p>
              </w:tc>
              <w:tc>
                <w:tcPr/>
                <w:p>
                  <w:pPr>
                    <w:pStyle w:val="Compact"/>
                    <w:jc w:val="center"/>
                    <w:jc w:val="center"/>
                  </w:pPr>
                  <w:r>
                    <w:t xml:space="preserve">29</w:t>
                  </w:r>
                </w:p>
              </w:tc>
              <w:tc>
                <w:tcPr/>
                <w:p>
                  <w:pPr>
                    <w:pStyle w:val="Compact"/>
                    <w:jc w:val="center"/>
                    <w:jc w:val="center"/>
                  </w:pPr>
                  <w:r>
                    <w:t xml:space="preserve">35</w:t>
                  </w:r>
                </w:p>
              </w:tc>
              <w:tc>
                <w:tcPr/>
                <w:p>
                  <w:pPr>
                    <w:pStyle w:val="Compact"/>
                    <w:jc w:val="center"/>
                    <w:jc w:val="center"/>
                  </w:pPr>
                  <w:r>
                    <w:t xml:space="preserve">34</w:t>
                  </w:r>
                </w:p>
              </w:tc>
            </w:tr>
            <w:tr>
              <w:tc>
                <w:tcPr/>
                <w:p>
                  <w:pPr>
                    <w:pStyle w:val="Compact"/>
                    <w:jc w:val="left"/>
                    <w:jc w:val="center"/>
                  </w:pPr>
                  <w:r>
                    <w:t xml:space="preserve">Range</w:t>
                  </w:r>
                </w:p>
              </w:tc>
              <w:tc>
                <w:tcPr/>
                <w:p>
                  <w:pPr>
                    <w:pStyle w:val="Compact"/>
                    <w:jc w:val="center"/>
                    <w:jc w:val="center"/>
                  </w:pPr>
                  <w:r>
                    <w:t xml:space="preserve">12, 60</w:t>
                  </w:r>
                </w:p>
              </w:tc>
              <w:tc>
                <w:tcPr/>
                <w:p>
                  <w:pPr>
                    <w:pStyle w:val="Compact"/>
                    <w:jc w:val="center"/>
                    <w:jc w:val="center"/>
                  </w:pPr>
                  <w:r>
                    <w:t xml:space="preserve">14, 50</w:t>
                  </w:r>
                </w:p>
              </w:tc>
              <w:tc>
                <w:tcPr/>
                <w:p>
                  <w:pPr>
                    <w:pStyle w:val="Compact"/>
                    <w:jc w:val="center"/>
                    <w:jc w:val="center"/>
                  </w:pPr>
                  <w:r>
                    <w:t xml:space="preserve">16, 38</w:t>
                  </w:r>
                </w:p>
              </w:tc>
              <w:tc>
                <w:tcPr/>
                <w:p>
                  <w:pPr>
                    <w:pStyle w:val="Compact"/>
                    <w:jc w:val="center"/>
                    <w:jc w:val="center"/>
                  </w:pPr>
                  <w:r>
                    <w:t xml:space="preserve">19, 66</w:t>
                  </w:r>
                </w:p>
              </w:tc>
              <w:tc>
                <w:tcPr/>
                <w:p>
                  <w:pPr>
                    <w:pStyle w:val="Compact"/>
                    <w:jc w:val="center"/>
                    <w:jc w:val="center"/>
                  </w:pPr>
                  <w:r>
                    <w:t xml:space="preserve">26, 42</w:t>
                  </w:r>
                </w:p>
              </w:tc>
            </w:tr>
            <w:tr>
              <w:tc>
                <w:tcPr/>
                <w:p>
                  <w:pPr>
                    <w:pStyle w:val="Compact"/>
                    <w:jc w:val="left"/>
                    <w:jc w:val="center"/>
                  </w:pPr>
                  <w:r>
                    <w:t xml:space="preserve">Rate of Maternal Deaths (per 100,000 live births)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420</w:t>
                  </w:r>
                </w:p>
              </w:tc>
              <w:tc>
                <w:tcPr/>
                <w:p>
                  <w:pPr>
                    <w:pStyle w:val="Compact"/>
                    <w:jc w:val="center"/>
                    <w:jc w:val="center"/>
                  </w:pPr>
                  <w:r>
                    <w:t xml:space="preserve">96</w:t>
                  </w:r>
                </w:p>
              </w:tc>
              <w:tc>
                <w:tcPr/>
                <w:p>
                  <w:pPr>
                    <w:pStyle w:val="Compact"/>
                    <w:jc w:val="center"/>
                    <w:jc w:val="center"/>
                  </w:pPr>
                  <w:r>
                    <w:t xml:space="preserve">12</w:t>
                  </w:r>
                </w:p>
              </w:tc>
              <w:tc>
                <w:tcPr/>
                <w:p>
                  <w:pPr>
                    <w:pStyle w:val="Compact"/>
                    <w:jc w:val="center"/>
                    <w:jc w:val="center"/>
                  </w:pPr>
                  <w:r>
                    <w:t xml:space="preserve">95</w:t>
                  </w:r>
                </w:p>
              </w:tc>
              <w:tc>
                <w:tcPr/>
                <w:p>
                  <w:pPr>
                    <w:pStyle w:val="Compact"/>
                    <w:jc w:val="center"/>
                    <w:jc w:val="center"/>
                  </w:pPr>
                  <w:r>
                    <w:t xml:space="preserve">79</w:t>
                  </w:r>
                </w:p>
              </w:tc>
            </w:tr>
            <w:tr>
              <w:tc>
                <w:tcPr/>
                <w:p>
                  <w:pPr>
                    <w:pStyle w:val="Compact"/>
                    <w:jc w:val="left"/>
                    <w:jc w:val="center"/>
                  </w:pPr>
                  <w:r>
                    <w:t xml:space="preserve">Range</w:t>
                  </w:r>
                </w:p>
              </w:tc>
              <w:tc>
                <w:tcPr/>
                <w:p>
                  <w:pPr>
                    <w:pStyle w:val="Compact"/>
                    <w:jc w:val="center"/>
                    <w:jc w:val="center"/>
                  </w:pPr>
                  <w:r>
                    <w:t xml:space="preserve">37, 1,155</w:t>
                  </w:r>
                </w:p>
              </w:tc>
              <w:tc>
                <w:tcPr/>
                <w:p>
                  <w:pPr>
                    <w:pStyle w:val="Compact"/>
                    <w:jc w:val="center"/>
                    <w:jc w:val="center"/>
                  </w:pPr>
                  <w:r>
                    <w:t xml:space="preserve">7, 638</w:t>
                  </w:r>
                </w:p>
              </w:tc>
              <w:tc>
                <w:tcPr/>
                <w:p>
                  <w:pPr>
                    <w:pStyle w:val="Compact"/>
                    <w:jc w:val="center"/>
                    <w:jc w:val="center"/>
                  </w:pPr>
                  <w:r>
                    <w:t xml:space="preserve">2, 19</w:t>
                  </w:r>
                </w:p>
              </w:tc>
              <w:tc>
                <w:tcPr/>
                <w:p>
                  <w:pPr>
                    <w:pStyle w:val="Compact"/>
                    <w:jc w:val="center"/>
                    <w:jc w:val="center"/>
                  </w:pPr>
                  <w:r>
                    <w:t xml:space="preserve">25, 480</w:t>
                  </w:r>
                </w:p>
              </w:tc>
              <w:tc>
                <w:tcPr/>
                <w:p>
                  <w:pPr>
                    <w:pStyle w:val="Compact"/>
                    <w:jc w:val="center"/>
                    <w:jc w:val="center"/>
                  </w:pPr>
                  <w:r>
                    <w:t xml:space="preserve">34, 145</w:t>
                  </w:r>
                </w:p>
              </w:tc>
            </w:tr>
            <w:tr>
              <w:tc>
                <w:tcPr/>
                <w:p>
                  <w:pPr>
                    <w:pStyle w:val="Compact"/>
                    <w:jc w:val="left"/>
                    <w:jc w:val="center"/>
                  </w:pPr>
                  <w:r>
                    <w:t xml:space="preserve">Rate of Maternal Deaths due to Unintended Pregnancies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1,656</w:t>
                  </w:r>
                </w:p>
              </w:tc>
              <w:tc>
                <w:tcPr/>
                <w:p>
                  <w:pPr>
                    <w:pStyle w:val="Compact"/>
                    <w:jc w:val="center"/>
                    <w:jc w:val="center"/>
                  </w:pPr>
                  <w:r>
                    <w:t xml:space="preserve">701</w:t>
                  </w:r>
                </w:p>
              </w:tc>
              <w:tc>
                <w:tcPr/>
                <w:p>
                  <w:pPr>
                    <w:pStyle w:val="Compact"/>
                    <w:jc w:val="center"/>
                    <w:jc w:val="center"/>
                  </w:pPr>
                  <w:r>
                    <w:t xml:space="preserve">90</w:t>
                  </w:r>
                </w:p>
              </w:tc>
              <w:tc>
                <w:tcPr/>
                <w:p>
                  <w:pPr>
                    <w:pStyle w:val="Compact"/>
                    <w:jc w:val="center"/>
                    <w:jc w:val="center"/>
                  </w:pPr>
                  <w:r>
                    <w:t xml:space="preserve">208</w:t>
                  </w:r>
                </w:p>
              </w:tc>
              <w:tc>
                <w:tcPr/>
                <w:p>
                  <w:pPr>
                    <w:pStyle w:val="Compact"/>
                    <w:jc w:val="center"/>
                    <w:jc w:val="center"/>
                  </w:pPr>
                  <w:r>
                    <w:t xml:space="preserve">318</w:t>
                  </w:r>
                </w:p>
              </w:tc>
            </w:tr>
            <w:tr>
              <w:tc>
                <w:tcPr/>
                <w:p>
                  <w:pPr>
                    <w:pStyle w:val="Compact"/>
                    <w:jc w:val="left"/>
                    <w:jc w:val="center"/>
                  </w:pPr>
                  <w:r>
                    <w:t xml:space="preserve">Range</w:t>
                  </w:r>
                </w:p>
              </w:tc>
              <w:tc>
                <w:tcPr/>
                <w:p>
                  <w:pPr>
                    <w:pStyle w:val="Compact"/>
                    <w:jc w:val="center"/>
                    <w:jc w:val="center"/>
                  </w:pPr>
                  <w:r>
                    <w:t xml:space="preserve">109, 7,952</w:t>
                  </w:r>
                </w:p>
              </w:tc>
              <w:tc>
                <w:tcPr/>
                <w:p>
                  <w:pPr>
                    <w:pStyle w:val="Compact"/>
                    <w:jc w:val="center"/>
                    <w:jc w:val="center"/>
                  </w:pPr>
                  <w:r>
                    <w:t xml:space="preserve">35, 4,090</w:t>
                  </w:r>
                </w:p>
              </w:tc>
              <w:tc>
                <w:tcPr/>
                <w:p>
                  <w:pPr>
                    <w:pStyle w:val="Compact"/>
                    <w:jc w:val="center"/>
                    <w:jc w:val="center"/>
                  </w:pPr>
                  <w:r>
                    <w:t xml:space="preserve">19, 203</w:t>
                  </w:r>
                </w:p>
              </w:tc>
              <w:tc>
                <w:tcPr/>
                <w:p>
                  <w:pPr>
                    <w:pStyle w:val="Compact"/>
                    <w:jc w:val="center"/>
                    <w:jc w:val="center"/>
                  </w:pPr>
                  <w:r>
                    <w:t xml:space="preserve">48, 839</w:t>
                  </w:r>
                </w:p>
              </w:tc>
              <w:tc>
                <w:tcPr/>
                <w:p>
                  <w:pPr>
                    <w:pStyle w:val="Compact"/>
                    <w:jc w:val="center"/>
                    <w:jc w:val="center"/>
                  </w:pPr>
                  <w:r>
                    <w:t xml:space="preserve">115, 490</w:t>
                  </w:r>
                </w:p>
              </w:tc>
            </w:tr>
            <w:tr>
              <w:tc>
                <w:tcPr/>
                <w:p>
                  <w:pPr>
                    <w:pStyle w:val="Compact"/>
                    <w:jc w:val="left"/>
                    <w:jc w:val="center"/>
                  </w:pPr>
                  <w:r>
                    <w:t xml:space="preserve">Rate of Maternal Deaths due to Abortions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160</w:t>
                  </w:r>
                </w:p>
              </w:tc>
              <w:tc>
                <w:tcPr/>
                <w:p>
                  <w:pPr>
                    <w:pStyle w:val="Compact"/>
                    <w:jc w:val="center"/>
                    <w:jc w:val="center"/>
                  </w:pPr>
                  <w:r>
                    <w:t xml:space="preserve">17</w:t>
                  </w:r>
                </w:p>
              </w:tc>
              <w:tc>
                <w:tcPr/>
                <w:p>
                  <w:pPr>
                    <w:pStyle w:val="Compact"/>
                    <w:jc w:val="center"/>
                    <w:jc w:val="center"/>
                  </w:pPr>
                  <w:r>
                    <w:t xml:space="preserve">9</w:t>
                  </w:r>
                </w:p>
              </w:tc>
              <w:tc>
                <w:tcPr/>
                <w:p>
                  <w:pPr>
                    <w:pStyle w:val="Compact"/>
                    <w:jc w:val="center"/>
                    <w:jc w:val="center"/>
                  </w:pPr>
                  <w:r>
                    <w:t xml:space="preserve">23</w:t>
                  </w:r>
                </w:p>
              </w:tc>
              <w:tc>
                <w:tcPr/>
                <w:p>
                  <w:pPr>
                    <w:pStyle w:val="Compact"/>
                    <w:jc w:val="center"/>
                    <w:jc w:val="center"/>
                  </w:pPr>
                  <w:r>
                    <w:t xml:space="preserve">40</w:t>
                  </w:r>
                </w:p>
              </w:tc>
            </w:tr>
            <w:tr>
              <w:tc>
                <w:tcPr/>
                <w:p>
                  <w:pPr>
                    <w:pStyle w:val="Compact"/>
                    <w:jc w:val="left"/>
                    <w:jc w:val="center"/>
                  </w:pPr>
                  <w:r>
                    <w:t xml:space="preserve">Range</w:t>
                  </w:r>
                </w:p>
              </w:tc>
              <w:tc>
                <w:tcPr/>
                <w:p>
                  <w:pPr>
                    <w:pStyle w:val="Compact"/>
                    <w:jc w:val="center"/>
                    <w:jc w:val="center"/>
                  </w:pPr>
                  <w:r>
                    <w:t xml:space="preserve">7, 609</w:t>
                  </w:r>
                </w:p>
              </w:tc>
              <w:tc>
                <w:tcPr/>
                <w:p>
                  <w:pPr>
                    <w:pStyle w:val="Compact"/>
                    <w:jc w:val="center"/>
                    <w:jc w:val="center"/>
                  </w:pPr>
                  <w:r>
                    <w:t xml:space="preserve">1, 48</w:t>
                  </w:r>
                </w:p>
              </w:tc>
              <w:tc>
                <w:tcPr/>
                <w:p>
                  <w:pPr>
                    <w:pStyle w:val="Compact"/>
                    <w:jc w:val="center"/>
                    <w:jc w:val="center"/>
                  </w:pPr>
                  <w:r>
                    <w:t xml:space="preserve">3, 30</w:t>
                  </w:r>
                </w:p>
              </w:tc>
              <w:tc>
                <w:tcPr/>
                <w:p>
                  <w:pPr>
                    <w:pStyle w:val="Compact"/>
                    <w:jc w:val="center"/>
                    <w:jc w:val="center"/>
                  </w:pPr>
                  <w:r>
                    <w:t xml:space="preserve">3, 74</w:t>
                  </w:r>
                </w:p>
              </w:tc>
              <w:tc>
                <w:tcPr/>
                <w:p>
                  <w:pPr>
                    <w:pStyle w:val="Compact"/>
                    <w:jc w:val="center"/>
                    <w:jc w:val="center"/>
                  </w:pPr>
                  <w:r>
                    <w:t xml:space="preserve">13, 85</w:t>
                  </w:r>
                </w:p>
              </w:tc>
            </w:tr>
            <w:tr>
              <w:tc>
                <w:tcPr/>
                <w:p>
                  <w:pPr>
                    <w:pStyle w:val="Compact"/>
                    <w:jc w:val="left"/>
                    <w:jc w:val="center"/>
                  </w:pPr>
                  <w:r>
                    <w:t xml:space="preserve">Number of women of reproductive age, 15-49</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Mean</w:t>
                  </w:r>
                </w:p>
              </w:tc>
              <w:tc>
                <w:tcPr/>
                <w:p>
                  <w:pPr>
                    <w:pStyle w:val="Compact"/>
                    <w:jc w:val="center"/>
                    <w:jc w:val="center"/>
                  </w:pPr>
                  <w:r>
                    <w:t xml:space="preserve">5,956</w:t>
                  </w:r>
                </w:p>
              </w:tc>
              <w:tc>
                <w:tcPr/>
                <w:p>
                  <w:pPr>
                    <w:pStyle w:val="Compact"/>
                    <w:jc w:val="center"/>
                    <w:jc w:val="center"/>
                  </w:pPr>
                  <w:r>
                    <w:t xml:space="preserve">30,567</w:t>
                  </w:r>
                </w:p>
              </w:tc>
              <w:tc>
                <w:tcPr/>
                <w:p>
                  <w:pPr>
                    <w:pStyle w:val="Compact"/>
                    <w:jc w:val="center"/>
                    <w:jc w:val="center"/>
                  </w:pPr>
                  <w:r>
                    <w:t xml:space="preserve">5,232</w:t>
                  </w:r>
                </w:p>
              </w:tc>
              <w:tc>
                <w:tcPr/>
                <w:p>
                  <w:pPr>
                    <w:pStyle w:val="Compact"/>
                    <w:jc w:val="center"/>
                    <w:jc w:val="center"/>
                  </w:pPr>
                  <w:r>
                    <w:t xml:space="preserve">6,832</w:t>
                  </w:r>
                </w:p>
              </w:tc>
              <w:tc>
                <w:tcPr/>
                <w:p>
                  <w:pPr>
                    <w:pStyle w:val="Compact"/>
                    <w:jc w:val="center"/>
                    <w:jc w:val="center"/>
                  </w:pPr>
                  <w:r>
                    <w:t xml:space="preserve">350</w:t>
                  </w:r>
                </w:p>
              </w:tc>
            </w:tr>
            <w:tr>
              <w:tc>
                <w:tcPr/>
                <w:p>
                  <w:pPr>
                    <w:pStyle w:val="Compact"/>
                    <w:jc w:val="left"/>
                    <w:jc w:val="center"/>
                  </w:pPr>
                  <w:r>
                    <w:t xml:space="preserve">Range</w:t>
                  </w:r>
                </w:p>
              </w:tc>
              <w:tc>
                <w:tcPr/>
                <w:p>
                  <w:pPr>
                    <w:pStyle w:val="Compact"/>
                    <w:jc w:val="center"/>
                    <w:jc w:val="center"/>
                  </w:pPr>
                  <w:r>
                    <w:t xml:space="preserve">50, 46,217</w:t>
                  </w:r>
                </w:p>
              </w:tc>
              <w:tc>
                <w:tcPr/>
                <w:p>
                  <w:pPr>
                    <w:pStyle w:val="Compact"/>
                    <w:jc w:val="center"/>
                    <w:jc w:val="center"/>
                  </w:pPr>
                  <w:r>
                    <w:t xml:space="preserve">113, 353,357</w:t>
                  </w:r>
                </w:p>
              </w:tc>
              <w:tc>
                <w:tcPr/>
                <w:p>
                  <w:pPr>
                    <w:pStyle w:val="Compact"/>
                    <w:jc w:val="center"/>
                    <w:jc w:val="center"/>
                  </w:pPr>
                  <w:r>
                    <w:t xml:space="preserve">146, 34,152</w:t>
                  </w:r>
                </w:p>
              </w:tc>
              <w:tc>
                <w:tcPr/>
                <w:p>
                  <w:pPr>
                    <w:pStyle w:val="Compact"/>
                    <w:jc w:val="center"/>
                    <w:jc w:val="center"/>
                  </w:pPr>
                  <w:r>
                    <w:t xml:space="preserve">28, 57,089</w:t>
                  </w:r>
                </w:p>
              </w:tc>
              <w:tc>
                <w:tcPr/>
                <w:p>
                  <w:pPr>
                    <w:pStyle w:val="Compact"/>
                    <w:jc w:val="center"/>
                    <w:jc w:val="center"/>
                  </w:pPr>
                  <w:r>
                    <w:t xml:space="preserve">26, 2,213</w:t>
                  </w:r>
                </w:p>
              </w:tc>
            </w:tr>
          </w:tbl>
          <w:bookmarkEnd w:id="29"/>
          <w:p/>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bar chart was made to showcase the frequencies of the number of countries and the percentage of unintended pregnancy rates using SARC methods. The data presented suggests that there are fewer countries with a higher number of unintended pregnancies using SARCs.]</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Scatterplot was contructed to see if there is a correlation between a standardized count of women using SARCs and the percentage of unintended pregnancies. In this case, a positive correlation is shown. It suggests that as the number of women using SARCs increases (x-axis), the percentage of unintended pregnancies increases (y-axis)]</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[Scatter plots are used to see if there is a relationship between two sets of continuous data. In this scatter plot, the relationship between the standardized count of women using SARCs and the percentage of unintended pregnancies is being examined.There appears to be a positive correlation between the standardized count of women using SARCs and the percentage of unintended pregnancies. The regions with the highest percentage of unintended pregnacies are shown to be Latin America &amp; the Caribbean, followed by Africa.]</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plots are used to visualize the distribution of data across different categories. In this case, it is being used to see the distribution of unintended pregnancy rates among countries that use short-acting reversible contraceptives (SARCs).The violin plot below shows that the distribution of unintended pregnancy rates is wider for countries with high SARC usage compared to counties with medium or low SARC usage. This means that there is more variation in unintended pregnancy rates in counties with high SARC usage.]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r>
        <w:rPr>
          <w:bCs/>
          <w:b/>
        </w:rPr>
        <w:t xml:space="preserve">?@tbl-2</w:t>
      </w:r>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bookmarkStart w:id="47" w:name="tbl-2"/>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-1.70419</w:t>
            </w:r>
          </w:p>
        </w:tc>
        <w:tc>
          <w:tcPr/>
          <w:p>
            <w:pPr>
              <w:pStyle w:val="Compact"/>
              <w:jc w:val="right"/>
            </w:pPr>
            <w:r>
              <w:t xml:space="preserve">0.9467058</w:t>
            </w:r>
          </w:p>
        </w:tc>
        <w:tc>
          <w:tcPr/>
          <w:p>
            <w:pPr>
              <w:pStyle w:val="Compact"/>
              <w:jc w:val="right"/>
            </w:pPr>
            <w:r>
              <w:t xml:space="preserve">-1.800126</w:t>
            </w:r>
          </w:p>
        </w:tc>
        <w:tc>
          <w:tcPr/>
          <w:p>
            <w:pPr>
              <w:pStyle w:val="Compact"/>
              <w:jc w:val="right"/>
            </w:pPr>
            <w:r>
              <w:t xml:space="preserve">0.0741596</w:t>
            </w:r>
          </w:p>
        </w:tc>
      </w:tr>
      <w:tr>
        <w:tc>
          <w:tcPr/>
          <w:p>
            <w:pPr>
              <w:pStyle w:val="Compact"/>
              <w:jc w:val="left"/>
            </w:pPr>
            <w:r>
              <w:t xml:space="preserve">sarc_standard</w:t>
            </w:r>
          </w:p>
        </w:tc>
        <w:tc>
          <w:tcPr/>
          <w:p>
            <w:pPr>
              <w:pStyle w:val="Compact"/>
              <w:jc w:val="right"/>
            </w:pPr>
            <w:r>
              <w:t xml:space="preserve">87.65998</w:t>
            </w:r>
          </w:p>
        </w:tc>
        <w:tc>
          <w:tcPr/>
          <w:p>
            <w:pPr>
              <w:pStyle w:val="Compact"/>
              <w:jc w:val="right"/>
            </w:pPr>
            <w:r>
              <w:t xml:space="preserve">4.1630345</w:t>
            </w:r>
          </w:p>
        </w:tc>
        <w:tc>
          <w:tcPr/>
          <w:p>
            <w:pPr>
              <w:pStyle w:val="Compact"/>
              <w:jc w:val="right"/>
            </w:pPr>
            <w:r>
              <w:t xml:space="preserve">21.056750</w:t>
            </w:r>
          </w:p>
        </w:tc>
        <w:tc>
          <w:tcPr/>
          <w:p>
            <w:pPr>
              <w:pStyle w:val="Compact"/>
              <w:jc w:val="right"/>
            </w:pPr>
            <w:r>
              <w:t xml:space="preserve">0.0000000</w:t>
            </w:r>
          </w:p>
        </w:tc>
      </w:tr>
    </w:tbl>
    <w:p>
      <w:pPr>
        <w:pStyle w:val="BodyText"/>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2</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2</w:t>
            </w:r>
          </w:p>
          <w:bookmarkEnd w:id="51"/>
        </w:tc>
      </w:tr>
    </w:tbl>
    <w:p>
      <w:pPr>
        <w:pStyle w:val="BodyText"/>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3</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3</w:t>
            </w:r>
          </w:p>
          <w:bookmarkEnd w:id="52"/>
        </w:tc>
      </w:tr>
    </w:tbl>
    <w:p>
      <w:pPr>
        <w:pStyle w:val="BodyText"/>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5334000"/>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5031"/>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5334000"/>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5334000"/>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2024-04-19T21:59:34Z</dcterms:created>
  <dcterms:modified xsi:type="dcterms:W3CDTF">2024-04-19T21:59:34Z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2024-04-19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