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8.png" ContentType="image/png"/>
  <Override PartName="/word/media/rId34.png" ContentType="image/png"/>
  <Override PartName="/word/media/rId42.png" ContentType="image/png"/>
  <Override PartName="/word/media/rId57.png" ContentType="image/png"/>
  <Override PartName="/word/media/rId53.png" ContentType="image/png"/>
  <Override PartName="/word/media/rId62.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2024-04-19</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pregnancy rate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resampling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cross-validated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between each variable and the outcome. We explored the region variable further because our main goal is to understand the difference in outcome by region.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5" w:name="results"/>
    <w:p>
      <w:pPr>
        <w:pStyle w:val="Heading1"/>
      </w:pPr>
      <w:r>
        <w:t xml:space="preserve">4. Results</w:t>
      </w:r>
    </w:p>
    <w:bookmarkStart w:id="46"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 in</w:t>
      </w:r>
      <w:r>
        <w:t xml:space="preserve"> </w:t>
      </w:r>
      <w:hyperlink w:anchor="tbl-1">
        <w:r>
          <w:rPr>
            <w:rStyle w:val="Hyperlink"/>
          </w:rPr>
          <w:t xml:space="preserve">Table 1</w:t>
        </w:r>
      </w:hyperlink>
      <w:r>
        <w:t xml:space="preserve">. [insert explanation here]</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[A summary table was done to present data about the seven predictor variables chosen in a structured format. Summary tables enable us to compare between different categories or groups within the data set. This can reveal trends or relationships. From the summary table below, it would appear that] Latin America/the Caribbean has the highest percentage of unintended pregancies due to SARC usage.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939"/>
              <w:gridCol w:w="1811"/>
              <w:gridCol w:w="1695"/>
              <w:gridCol w:w="1945"/>
              <w:gridCol w:w="417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Unintended Pregnancies due to SARC Usage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Never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(per 100,000 live births)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Unintended Pregnancies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7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Abortions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bookmarkEnd w:id="29"/>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bar chart was made to showcase the frequencies of the number of countries and the percentage of unintended pregnancy rates using SARC methods. The data presented suggests that there are fewer countries with a higher number of unintended pregnancies using SARCs.]</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hyperlink w:anchor="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fig-2"/>
          <w:p>
            <w:pPr>
              <w:pStyle w:val="Compact"/>
              <w:jc w:val="center"/>
            </w:pPr>
            <w:r>
              <w:drawing>
                <wp:inline>
                  <wp:extent cx="5334000" cy="3295031"/>
                  <wp:effectExtent b="0" l="0" r="0" t="0"/>
                  <wp:docPr descr=""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Scatterplot was contructed to see if there is a correlation between a standardized count of women using SARCs and the percentage of unintended pregnancies. In this case, a positive correlation is shown. It suggests that as the number of women using SARCs increases (x-axis), the percentage of unintended pregnancies increases (y-axis)]</w:t>
            </w:r>
          </w:p>
          <w:bookmarkEnd w:id="37"/>
        </w:tc>
      </w:tr>
    </w:tbl>
    <w:p>
      <w:pPr>
        <w:pStyle w:val="BodyText"/>
      </w:pPr>
      <w:r>
        <w:t xml:space="preserve">We stratified these four graphs by region to examine how the relationship differs across each of the regions which is shown in</w:t>
      </w:r>
      <w:r>
        <w:t xml:space="preserve"> </w:t>
      </w:r>
      <w:hyperlink w:anchor="fig-3">
        <w:r>
          <w:rPr>
            <w:rStyle w:val="Hyperlink"/>
          </w:rPr>
          <w:t xml:space="preserve">Figure 3</w:t>
        </w:r>
      </w:hyperlink>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tbl>
      <w:tblPr>
        <w:tblStyle w:val="Table"/>
        <w:tblW w:type="pct" w:w="5000"/>
        <w:tblLook w:firstRow="0" w:lastRow="0" w:firstColumn="0" w:lastColumn="0" w:noHBand="0" w:noVBand="0" w:val="0000"/>
        <w:jc w:val="start"/>
        <w:tblLayout w:type="fixed"/>
      </w:tblPr>
      <w:tblGrid>
        <w:gridCol w:w="7920"/>
      </w:tblGrid>
      <w:tr>
        <w:tc>
          <w:tcPr/>
          <w:bookmarkStart w:id="41" w:name="fig-3"/>
          <w:p>
            <w:pPr>
              <w:pStyle w:val="Compact"/>
              <w:jc w:val="center"/>
            </w:pPr>
            <w:r>
              <w:drawing>
                <wp:inline>
                  <wp:extent cx="5334000" cy="3295031"/>
                  <wp:effectExtent b="0" l="0" r="0" t="0"/>
                  <wp:docPr descr=""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[Scatter plots are used to see if there is a relationship between two sets of continuous data. In this scatter plot, the relationship between the standardized count of women using SARCs and the percentage of unintended pregnancies is being examined.There appears to be a positive correlation between the standardized count of women using SARCs and the percentage of unintended pregnancies. The regions with the highest percentage of unintended pregnacies are shown to be Latin America &amp; the Caribbean, followed by Africa.]</w:t>
            </w:r>
          </w:p>
          <w:bookmarkEnd w:id="41"/>
        </w:tc>
      </w:tr>
    </w:tbl>
    <w:p>
      <w:pPr>
        <w:pStyle w:val="BodyText"/>
      </w:pPr>
      <w:r>
        <w:t xml:space="preserve">We also created violin plots using the categorical usage variables for each birth control method as shown in</w:t>
      </w:r>
      <w:r>
        <w:t xml:space="preserve"> </w:t>
      </w:r>
      <w:hyperlink w:anchor="fig-4">
        <w:r>
          <w:rPr>
            <w:rStyle w:val="Hyperlink"/>
          </w:rPr>
          <w:t xml:space="preserve">Figure 4</w:t>
        </w:r>
      </w:hyperlink>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tbl>
      <w:tblPr>
        <w:tblStyle w:val="Table"/>
        <w:tblW w:type="pct" w:w="5000"/>
        <w:tblLook w:firstRow="0" w:lastRow="0" w:firstColumn="0" w:lastColumn="0" w:noHBand="0" w:noVBand="0" w:val="0000"/>
        <w:jc w:val="start"/>
        <w:tblLayout w:type="fixed"/>
      </w:tblPr>
      <w:tblGrid>
        <w:gridCol w:w="7920"/>
      </w:tblGrid>
      <w:tr>
        <w:tc>
          <w:tcPr/>
          <w:bookmarkStart w:id="45" w:name="fig-4"/>
          <w:p>
            <w:pPr>
              <w:pStyle w:val="Compact"/>
              <w:jc w:val="center"/>
            </w:pPr>
            <w:r>
              <w:drawing>
                <wp:inline>
                  <wp:extent cx="5334000" cy="3295031"/>
                  <wp:effectExtent b="0" l="0" r="0" t="0"/>
                  <wp:docPr descr="" title="" id="43" name="Picture"/>
                  <a:graphic>
                    <a:graphicData uri="http://schemas.openxmlformats.org/drawingml/2006/picture">
                      <pic:pic>
                        <pic:nvPicPr>
                          <pic:cNvPr descr="../../results/figures/exploratory-figures/sarc_pctupreg_violi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[Violin plots are used to visualize the distribution of data across different categories. In this case, it is being used to see the distribution of unintended pregnancy rates among countries that use short-acting reversible contraceptives (SARCs).The violin plot below shows that the distribution of unintended pregnancy rates is wider for countries with high SARC usage compared to counties with medium or low SARC usage. This means that there is more variation in unintended pregnancy rates in counties with high SARC usage.]</w:t>
            </w:r>
          </w:p>
          <w:bookmarkEnd w:id="45"/>
        </w:tc>
      </w:tr>
    </w:tbl>
    <w:p>
      <w:pPr>
        <w:pStyle w:val="BodyText"/>
      </w:pPr>
      <w:r>
        <w:t xml:space="preserve">Lastly, we explored the predictor variables that will be used in our models.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bookmarkEnd w:id="46"/>
    <w:bookmarkStart w:id="49"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r>
        <w:rPr>
          <w:bCs/>
          <w:b/>
        </w:rPr>
        <w:t xml:space="preserve">?@tbl-2</w:t>
      </w:r>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bookmarkStart w:id="47" w:name="tbl-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-1.70419</w:t>
            </w:r>
          </w:p>
        </w:tc>
        <w:tc>
          <w:tcPr/>
          <w:p>
            <w:pPr>
              <w:pStyle w:val="Compact"/>
              <w:jc w:val="right"/>
            </w:pPr>
            <w:r>
              <w:t xml:space="preserve">0.9467058</w:t>
            </w:r>
          </w:p>
        </w:tc>
        <w:tc>
          <w:tcPr/>
          <w:p>
            <w:pPr>
              <w:pStyle w:val="Compact"/>
              <w:jc w:val="right"/>
            </w:pPr>
            <w:r>
              <w:t xml:space="preserve">-1.800126</w:t>
            </w:r>
          </w:p>
        </w:tc>
        <w:tc>
          <w:tcPr/>
          <w:p>
            <w:pPr>
              <w:pStyle w:val="Compact"/>
              <w:jc w:val="right"/>
            </w:pPr>
            <w:r>
              <w:t xml:space="preserve">0.0741596</w:t>
            </w:r>
          </w:p>
        </w:tc>
      </w:tr>
      <w:tr>
        <w:tc>
          <w:tcPr/>
          <w:p>
            <w:pPr>
              <w:pStyle w:val="Compact"/>
              <w:jc w:val="left"/>
            </w:pPr>
            <w:r>
              <w:t xml:space="preserve">sarc_standard</w:t>
            </w:r>
          </w:p>
        </w:tc>
        <w:tc>
          <w:tcPr/>
          <w:p>
            <w:pPr>
              <w:pStyle w:val="Compact"/>
              <w:jc w:val="right"/>
            </w:pPr>
            <w:r>
              <w:t xml:space="preserve">87.65998</w:t>
            </w:r>
          </w:p>
        </w:tc>
        <w:tc>
          <w:tcPr/>
          <w:p>
            <w:pPr>
              <w:pStyle w:val="Compact"/>
              <w:jc w:val="right"/>
            </w:pPr>
            <w:r>
              <w:t xml:space="preserve">4.1630345</w:t>
            </w:r>
          </w:p>
        </w:tc>
        <w:tc>
          <w:tcPr/>
          <w:p>
            <w:pPr>
              <w:pStyle w:val="Compact"/>
              <w:jc w:val="right"/>
            </w:pPr>
            <w:r>
              <w:t xml:space="preserve">21.056750</w:t>
            </w:r>
          </w:p>
        </w:tc>
        <w:tc>
          <w:tcPr/>
          <w:p>
            <w:pPr>
              <w:pStyle w:val="Compact"/>
              <w:jc w:val="right"/>
            </w:pPr>
            <w:r>
              <w:t xml:space="preserve">0.0000000</w:t>
            </w:r>
          </w:p>
        </w:tc>
      </w:tr>
    </w:tbl>
    <w:p>
      <w:pPr>
        <w:pStyle w:val="BodyText"/>
      </w:pPr>
      <w:r>
        <w:t xml:space="preserve">This simple linear regresion model shows a strong effect of the standardized population size using short-acting reversible contraception methods on the outcome of percentage of unintended pregnancies due to short acting reversible contraception. This strong positive relationship indicates that as more women use this form of contraception, more women are susceptible to unintended pregancies due to SARCs because they are now at risk of experiencing the outcome. The coefficient of 87.65998 is the largest single coefficient of any predictor that we studied, which increases our confidence in including it as a predictor in our final model.</w:t>
      </w:r>
    </w:p>
    <w:bookmarkEnd w:id="47"/>
    <w:p>
      <w:pPr>
        <w:pStyle w:val="BodyText"/>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rPr>
          <w:bCs/>
          <w:b/>
        </w:rPr>
        <w:t xml:space="preserve">?@tbl-3</w:t>
      </w:r>
      <w:r>
        <w:t xml:space="preserve">.</w:t>
      </w:r>
    </w:p>
    <w:bookmarkStart w:id="48" w:name="tbl-3"/>
    <w:tbl>
      <w:tblPr>
        <w:tblStyle w:val="Table"/>
        <w:tblW w:type="pct" w:w="5000"/>
        <w:tblLook w:firstRow="1" w:lastRow="0" w:firstColumn="0" w:lastColumn="0" w:noHBand="0" w:noVBand="0" w:val="0020"/>
        <w:jc w:val="start"/>
        <w:tblLayout w:type="fixed"/>
      </w:tblPr>
      <w:tblGrid>
        <w:gridCol w:w="3751"/>
        <w:gridCol w:w="1042"/>
        <w:gridCol w:w="1042"/>
        <w:gridCol w:w="1042"/>
        <w:gridCol w:w="1042"/>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0.4183480</w:t>
            </w:r>
          </w:p>
        </w:tc>
        <w:tc>
          <w:tcPr/>
          <w:p>
            <w:pPr>
              <w:pStyle w:val="Compact"/>
              <w:jc w:val="right"/>
            </w:pPr>
            <w:r>
              <w:t xml:space="preserve">0.1590909</w:t>
            </w:r>
          </w:p>
        </w:tc>
        <w:tc>
          <w:tcPr/>
          <w:p>
            <w:pPr>
              <w:pStyle w:val="Compact"/>
              <w:jc w:val="right"/>
            </w:pPr>
            <w:r>
              <w:t xml:space="preserve">2.6296162</w:t>
            </w:r>
          </w:p>
        </w:tc>
        <w:tc>
          <w:tcPr/>
          <w:p>
            <w:pPr>
              <w:pStyle w:val="Compact"/>
              <w:jc w:val="right"/>
            </w:pPr>
            <w:r>
              <w:t xml:space="preserve">0.0096043</w:t>
            </w:r>
          </w:p>
        </w:tc>
      </w:tr>
      <w:tr>
        <w:tc>
          <w:tcPr/>
          <w:p>
            <w:pPr>
              <w:pStyle w:val="Compact"/>
              <w:jc w:val="left"/>
            </w:pPr>
            <w:r>
              <w:t xml:space="preserve">regionAsia</w:t>
            </w:r>
          </w:p>
        </w:tc>
        <w:tc>
          <w:tcPr/>
          <w:p>
            <w:pPr>
              <w:pStyle w:val="Compact"/>
              <w:jc w:val="right"/>
            </w:pPr>
            <w:r>
              <w:t xml:space="preserve">1.4693938</w:t>
            </w:r>
          </w:p>
        </w:tc>
        <w:tc>
          <w:tcPr/>
          <w:p>
            <w:pPr>
              <w:pStyle w:val="Compact"/>
              <w:jc w:val="right"/>
            </w:pPr>
            <w:r>
              <w:t xml:space="preserve">0.2501434</w:t>
            </w:r>
          </w:p>
        </w:tc>
        <w:tc>
          <w:tcPr/>
          <w:p>
            <w:pPr>
              <w:pStyle w:val="Compact"/>
              <w:jc w:val="right"/>
            </w:pPr>
            <w:r>
              <w:t xml:space="preserve">5.8742045</w:t>
            </w:r>
          </w:p>
        </w:tc>
        <w:tc>
          <w:tcPr/>
          <w:p>
            <w:pPr>
              <w:pStyle w:val="Compact"/>
              <w:jc w:val="right"/>
            </w:pPr>
            <w:r>
              <w:t xml:space="preserve">0.0000000</w:t>
            </w:r>
          </w:p>
        </w:tc>
      </w:tr>
      <w:tr>
        <w:tc>
          <w:tcPr/>
          <w:p>
            <w:pPr>
              <w:pStyle w:val="Compact"/>
              <w:jc w:val="left"/>
            </w:pPr>
            <w:r>
              <w:t xml:space="preserve">regionEurope</w:t>
            </w:r>
          </w:p>
        </w:tc>
        <w:tc>
          <w:tcPr/>
          <w:p>
            <w:pPr>
              <w:pStyle w:val="Compact"/>
              <w:jc w:val="right"/>
            </w:pPr>
            <w:r>
              <w:t xml:space="preserve">0.3299391</w:t>
            </w:r>
          </w:p>
        </w:tc>
        <w:tc>
          <w:tcPr/>
          <w:p>
            <w:pPr>
              <w:pStyle w:val="Compact"/>
              <w:jc w:val="right"/>
            </w:pPr>
            <w:r>
              <w:t xml:space="preserve">0.3837417</w:t>
            </w:r>
          </w:p>
        </w:tc>
        <w:tc>
          <w:tcPr/>
          <w:p>
            <w:pPr>
              <w:pStyle w:val="Compact"/>
              <w:jc w:val="right"/>
            </w:pPr>
            <w:r>
              <w:t xml:space="preserve">0.8597948</w:t>
            </w:r>
          </w:p>
        </w:tc>
        <w:tc>
          <w:tcPr/>
          <w:p>
            <w:pPr>
              <w:pStyle w:val="Compact"/>
              <w:jc w:val="right"/>
            </w:pPr>
            <w:r>
              <w:t xml:space="preserve">0.3915223</w:t>
            </w:r>
          </w:p>
        </w:tc>
      </w:tr>
      <w:tr>
        <w:tc>
          <w:tcPr/>
          <w:p>
            <w:pPr>
              <w:pStyle w:val="Compact"/>
              <w:jc w:val="left"/>
            </w:pPr>
            <w:r>
              <w:t xml:space="preserve">regionLatin America &amp; the Caribbean</w:t>
            </w:r>
          </w:p>
        </w:tc>
        <w:tc>
          <w:tcPr/>
          <w:p>
            <w:pPr>
              <w:pStyle w:val="Compact"/>
              <w:jc w:val="right"/>
            </w:pPr>
            <w:r>
              <w:t xml:space="preserve">1.6218844</w:t>
            </w:r>
          </w:p>
        </w:tc>
        <w:tc>
          <w:tcPr/>
          <w:p>
            <w:pPr>
              <w:pStyle w:val="Compact"/>
              <w:jc w:val="right"/>
            </w:pPr>
            <w:r>
              <w:t xml:space="preserve">0.2849608</w:t>
            </w:r>
          </w:p>
        </w:tc>
        <w:tc>
          <w:tcPr/>
          <w:p>
            <w:pPr>
              <w:pStyle w:val="Compact"/>
              <w:jc w:val="right"/>
            </w:pPr>
            <w:r>
              <w:t xml:space="preserve">5.6916055</w:t>
            </w:r>
          </w:p>
        </w:tc>
        <w:tc>
          <w:tcPr/>
          <w:p>
            <w:pPr>
              <w:pStyle w:val="Compact"/>
              <w:jc w:val="right"/>
            </w:pPr>
            <w:r>
              <w:t xml:space="preserve">0.0000001</w:t>
            </w:r>
          </w:p>
        </w:tc>
      </w:tr>
      <w:tr>
        <w:tc>
          <w:tcPr/>
          <w:p>
            <w:pPr>
              <w:pStyle w:val="Compact"/>
              <w:jc w:val="left"/>
            </w:pPr>
            <w:r>
              <w:t xml:space="preserve">regionOceania</w:t>
            </w:r>
          </w:p>
        </w:tc>
        <w:tc>
          <w:tcPr/>
          <w:p>
            <w:pPr>
              <w:pStyle w:val="Compact"/>
              <w:jc w:val="right"/>
            </w:pPr>
            <w:r>
              <w:t xml:space="preserve">0.2512100</w:t>
            </w:r>
          </w:p>
        </w:tc>
        <w:tc>
          <w:tcPr/>
          <w:p>
            <w:pPr>
              <w:pStyle w:val="Compact"/>
              <w:jc w:val="right"/>
            </w:pPr>
            <w:r>
              <w:t xml:space="preserve">0.4393041</w:t>
            </w:r>
          </w:p>
        </w:tc>
        <w:tc>
          <w:tcPr/>
          <w:p>
            <w:pPr>
              <w:pStyle w:val="Compact"/>
              <w:jc w:val="right"/>
            </w:pPr>
            <w:r>
              <w:t xml:space="preserve">0.5718362</w:t>
            </w:r>
          </w:p>
        </w:tc>
        <w:tc>
          <w:tcPr/>
          <w:p>
            <w:pPr>
              <w:pStyle w:val="Compact"/>
              <w:jc w:val="right"/>
            </w:pPr>
            <w:r>
              <w:t xml:space="preserve">0.5684437</w:t>
            </w:r>
          </w:p>
        </w:tc>
      </w:tr>
    </w:tbl>
    <w:p>
      <w:pPr>
        <w:pStyle w:val="BodyText"/>
      </w:pPr>
      <w:r>
        <w:t xml:space="preserve">In a simple linear regression with the</w:t>
      </w:r>
      <w:r>
        <w:t xml:space="preserve"> </w:t>
      </w:r>
      <w:r>
        <w:rPr>
          <w:rStyle w:val="VerbatimChar"/>
        </w:rPr>
        <w:t xml:space="preserve">region</w:t>
      </w:r>
      <w:r>
        <w:t xml:space="preserve"> </w:t>
      </w:r>
      <w:r>
        <w:t xml:space="preserve">predictor only, the Latin America/the Caribbean region has the strongest relationship with the outcome based on a coefficient of 1.6218844 followed closely by Asia. Europe has a smaller efffect on the outcome based on the coefficient of 0.3299391, but Oceania has the smallest effect on the outcome. This model chose the African region as the reference group, which means that it has the weakest association with the outcome compared to the other 4 regions.</w:t>
      </w:r>
    </w:p>
    <w:bookmarkEnd w:id="48"/>
    <w:p>
      <w:pPr>
        <w:pStyle w:val="BodyText"/>
      </w:pPr>
      <w:r>
        <w:t xml:space="preserve">Details about the 10 different models we created can be found in the statistical-analysis.qmd file in the code &gt; analysis-code folder along with an exploration of the correlation between predictors.</w:t>
      </w:r>
    </w:p>
    <w:bookmarkEnd w:id="49"/>
    <w:bookmarkStart w:id="74"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rPr>
          <w:bCs/>
          <w:b/>
        </w:rPr>
        <w:t xml:space="preserve">?@tbl-4</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bookmarkStart w:id="50" w:name="tbl-4"/>
    <w:tbl>
      <w:tblPr>
        <w:tblStyle w:val="Table"/>
        <w:tblW w:type="pct" w:w="5000"/>
        <w:tblLook w:firstRow="1" w:lastRow="0" w:firstColumn="0" w:lastColumn="0" w:noHBand="0" w:noVBand="0" w:val="0020"/>
        <w:jc w:val="start"/>
        <w:tblLayout w:type="fixed"/>
      </w:tblPr>
      <w:tblGrid>
        <w:gridCol w:w="3655"/>
        <w:gridCol w:w="1116"/>
        <w:gridCol w:w="1015"/>
        <w:gridCol w:w="1116"/>
        <w:gridCol w:w="1015"/>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-2.6645042</w:t>
            </w:r>
          </w:p>
        </w:tc>
        <w:tc>
          <w:tcPr/>
          <w:p>
            <w:pPr>
              <w:pStyle w:val="Compact"/>
              <w:jc w:val="right"/>
            </w:pPr>
            <w:r>
              <w:t xml:space="preserve">3.5989681</w:t>
            </w:r>
          </w:p>
        </w:tc>
        <w:tc>
          <w:tcPr/>
          <w:p>
            <w:pPr>
              <w:pStyle w:val="Compact"/>
              <w:jc w:val="right"/>
            </w:pPr>
            <w:r>
              <w:t xml:space="preserve">-0.7403523</w:t>
            </w:r>
          </w:p>
        </w:tc>
        <w:tc>
          <w:tcPr/>
          <w:p>
            <w:pPr>
              <w:pStyle w:val="Compact"/>
              <w:jc w:val="right"/>
            </w:pPr>
            <w:r>
              <w:t xml:space="preserve">0.4604972</w:t>
            </w:r>
          </w:p>
        </w:tc>
      </w:tr>
      <w:tr>
        <w:tc>
          <w:tcPr/>
          <w:p>
            <w:pPr>
              <w:pStyle w:val="Compact"/>
              <w:jc w:val="left"/>
            </w:pPr>
            <w:r>
              <w:t xml:space="preserve">sarc_standard</w:t>
            </w:r>
          </w:p>
        </w:tc>
        <w:tc>
          <w:tcPr/>
          <w:p>
            <w:pPr>
              <w:pStyle w:val="Compact"/>
              <w:jc w:val="right"/>
            </w:pPr>
            <w:r>
              <w:t xml:space="preserve">83.4583555</w:t>
            </w:r>
          </w:p>
        </w:tc>
        <w:tc>
          <w:tcPr/>
          <w:p>
            <w:pPr>
              <w:pStyle w:val="Compact"/>
              <w:jc w:val="right"/>
            </w:pPr>
            <w:r>
              <w:t xml:space="preserve">4.3434662</w:t>
            </w:r>
          </w:p>
        </w:tc>
        <w:tc>
          <w:tcPr/>
          <w:p>
            <w:pPr>
              <w:pStyle w:val="Compact"/>
              <w:jc w:val="right"/>
            </w:pPr>
            <w:r>
              <w:t xml:space="preserve">19.2146899</w:t>
            </w:r>
          </w:p>
        </w:tc>
        <w:tc>
          <w:tcPr/>
          <w:p>
            <w:pPr>
              <w:pStyle w:val="Compact"/>
              <w:jc w:val="right"/>
            </w:pPr>
            <w:r>
              <w:t xml:space="preserve">0.0000000</w:t>
            </w:r>
          </w:p>
        </w:tc>
      </w:tr>
      <w:tr>
        <w:tc>
          <w:tcPr/>
          <w:p>
            <w:pPr>
              <w:pStyle w:val="Compact"/>
              <w:jc w:val="left"/>
            </w:pPr>
            <w:r>
              <w:t xml:space="preserve">regionAsia</w:t>
            </w:r>
          </w:p>
        </w:tc>
        <w:tc>
          <w:tcPr/>
          <w:p>
            <w:pPr>
              <w:pStyle w:val="Compact"/>
              <w:jc w:val="right"/>
            </w:pPr>
            <w:r>
              <w:t xml:space="preserve">4.8024062</w:t>
            </w:r>
          </w:p>
        </w:tc>
        <w:tc>
          <w:tcPr/>
          <w:p>
            <w:pPr>
              <w:pStyle w:val="Compact"/>
              <w:jc w:val="right"/>
            </w:pPr>
            <w:r>
              <w:t xml:space="preserve">1.2998605</w:t>
            </w:r>
          </w:p>
        </w:tc>
        <w:tc>
          <w:tcPr/>
          <w:p>
            <w:pPr>
              <w:pStyle w:val="Compact"/>
              <w:jc w:val="right"/>
            </w:pPr>
            <w:r>
              <w:t xml:space="preserve">3.6945550</w:t>
            </w:r>
          </w:p>
        </w:tc>
        <w:tc>
          <w:tcPr/>
          <w:p>
            <w:pPr>
              <w:pStyle w:val="Compact"/>
              <w:jc w:val="right"/>
            </w:pPr>
            <w:r>
              <w:t xml:space="preserve">0.0003300</w:t>
            </w:r>
          </w:p>
        </w:tc>
      </w:tr>
      <w:tr>
        <w:tc>
          <w:tcPr/>
          <w:p>
            <w:pPr>
              <w:pStyle w:val="Compact"/>
              <w:jc w:val="left"/>
            </w:pPr>
            <w:r>
              <w:t xml:space="preserve">regionEurope</w:t>
            </w:r>
          </w:p>
        </w:tc>
        <w:tc>
          <w:tcPr/>
          <w:p>
            <w:pPr>
              <w:pStyle w:val="Compact"/>
              <w:jc w:val="right"/>
            </w:pPr>
            <w:r>
              <w:t xml:space="preserve">6.9438274</w:t>
            </w:r>
          </w:p>
        </w:tc>
        <w:tc>
          <w:tcPr/>
          <w:p>
            <w:pPr>
              <w:pStyle w:val="Compact"/>
              <w:jc w:val="right"/>
            </w:pPr>
            <w:r>
              <w:t xml:space="preserve">1.6833556</w:t>
            </w:r>
          </w:p>
        </w:tc>
        <w:tc>
          <w:tcPr/>
          <w:p>
            <w:pPr>
              <w:pStyle w:val="Compact"/>
              <w:jc w:val="right"/>
            </w:pPr>
            <w:r>
              <w:t xml:space="preserve">4.1249914</w:t>
            </w:r>
          </w:p>
        </w:tc>
        <w:tc>
          <w:tcPr/>
          <w:p>
            <w:pPr>
              <w:pStyle w:val="Compact"/>
              <w:jc w:val="right"/>
            </w:pPr>
            <w:r>
              <w:t xml:space="preserve">0.0000677</w:t>
            </w:r>
          </w:p>
        </w:tc>
      </w:tr>
      <w:tr>
        <w:tc>
          <w:tcPr/>
          <w:p>
            <w:pPr>
              <w:pStyle w:val="Compact"/>
              <w:jc w:val="left"/>
            </w:pPr>
            <w:r>
              <w:t xml:space="preserve">regionLatin America &amp; the Caribbean</w:t>
            </w:r>
          </w:p>
        </w:tc>
        <w:tc>
          <w:tcPr/>
          <w:p>
            <w:pPr>
              <w:pStyle w:val="Compact"/>
              <w:jc w:val="right"/>
            </w:pPr>
            <w:r>
              <w:t xml:space="preserve">5.2932178</w:t>
            </w:r>
          </w:p>
        </w:tc>
        <w:tc>
          <w:tcPr/>
          <w:p>
            <w:pPr>
              <w:pStyle w:val="Compact"/>
              <w:jc w:val="right"/>
            </w:pPr>
            <w:r>
              <w:t xml:space="preserve">1.2916582</w:t>
            </w:r>
          </w:p>
        </w:tc>
        <w:tc>
          <w:tcPr/>
          <w:p>
            <w:pPr>
              <w:pStyle w:val="Compact"/>
              <w:jc w:val="right"/>
            </w:pPr>
            <w:r>
              <w:t xml:space="preserve">4.0980019</w:t>
            </w:r>
          </w:p>
        </w:tc>
        <w:tc>
          <w:tcPr/>
          <w:p>
            <w:pPr>
              <w:pStyle w:val="Compact"/>
              <w:jc w:val="right"/>
            </w:pPr>
            <w:r>
              <w:t xml:space="preserve">0.0000751</w:t>
            </w:r>
          </w:p>
        </w:tc>
      </w:tr>
      <w:tr>
        <w:tc>
          <w:tcPr/>
          <w:p>
            <w:pPr>
              <w:pStyle w:val="Compact"/>
              <w:jc w:val="left"/>
            </w:pPr>
            <w:r>
              <w:t xml:space="preserve">regionOceania</w:t>
            </w:r>
          </w:p>
        </w:tc>
        <w:tc>
          <w:tcPr/>
          <w:p>
            <w:pPr>
              <w:pStyle w:val="Compact"/>
              <w:jc w:val="right"/>
            </w:pPr>
            <w:r>
              <w:t xml:space="preserve">-0.0327847</w:t>
            </w:r>
          </w:p>
        </w:tc>
        <w:tc>
          <w:tcPr/>
          <w:p>
            <w:pPr>
              <w:pStyle w:val="Compact"/>
              <w:jc w:val="right"/>
            </w:pPr>
            <w:r>
              <w:t xml:space="preserve">1.9053331</w:t>
            </w:r>
          </w:p>
        </w:tc>
        <w:tc>
          <w:tcPr/>
          <w:p>
            <w:pPr>
              <w:pStyle w:val="Compact"/>
              <w:jc w:val="right"/>
            </w:pPr>
            <w:r>
              <w:t xml:space="preserve">-0.0172068</w:t>
            </w:r>
          </w:p>
        </w:tc>
        <w:tc>
          <w:tcPr/>
          <w:p>
            <w:pPr>
              <w:pStyle w:val="Compact"/>
              <w:jc w:val="right"/>
            </w:pPr>
            <w:r>
              <w:t xml:space="preserve">0.9862995</w:t>
            </w:r>
          </w:p>
        </w:tc>
      </w:tr>
      <w:tr>
        <w:tc>
          <w:tcPr/>
          <w:p>
            <w:pPr>
              <w:pStyle w:val="Compact"/>
              <w:jc w:val="left"/>
            </w:pPr>
            <w:r>
              <w:t xml:space="preserve">pct_currentlymarried</w:t>
            </w:r>
          </w:p>
        </w:tc>
        <w:tc>
          <w:tcPr/>
          <w:p>
            <w:pPr>
              <w:pStyle w:val="Compact"/>
              <w:jc w:val="right"/>
            </w:pPr>
            <w:r>
              <w:t xml:space="preserve">-0.0156108</w:t>
            </w:r>
          </w:p>
        </w:tc>
        <w:tc>
          <w:tcPr/>
          <w:p>
            <w:pPr>
              <w:pStyle w:val="Compact"/>
              <w:jc w:val="right"/>
            </w:pPr>
            <w:r>
              <w:t xml:space="preserve">0.0554107</w:t>
            </w:r>
          </w:p>
        </w:tc>
        <w:tc>
          <w:tcPr/>
          <w:p>
            <w:pPr>
              <w:pStyle w:val="Compact"/>
              <w:jc w:val="right"/>
            </w:pPr>
            <w:r>
              <w:t xml:space="preserve">-0.2817295</w:t>
            </w:r>
          </w:p>
        </w:tc>
        <w:tc>
          <w:tcPr/>
          <w:p>
            <w:pPr>
              <w:pStyle w:val="Compact"/>
              <w:jc w:val="right"/>
            </w:pPr>
            <w:r>
              <w:t xml:space="preserve">0.7786244</w:t>
            </w:r>
          </w:p>
        </w:tc>
      </w:tr>
      <w:tr>
        <w:tc>
          <w:tcPr/>
          <w:p>
            <w:pPr>
              <w:pStyle w:val="Compact"/>
              <w:jc w:val="left"/>
            </w:pPr>
            <w:r>
              <w:t xml:space="preserve">rate_matdeaths_upreg</w:t>
            </w:r>
          </w:p>
        </w:tc>
        <w:tc>
          <w:tcPr/>
          <w:p>
            <w:pPr>
              <w:pStyle w:val="Compact"/>
              <w:jc w:val="right"/>
            </w:pPr>
            <w:r>
              <w:t xml:space="preserve">-0.0001301</w:t>
            </w:r>
          </w:p>
        </w:tc>
        <w:tc>
          <w:tcPr/>
          <w:p>
            <w:pPr>
              <w:pStyle w:val="Compact"/>
              <w:jc w:val="right"/>
            </w:pPr>
            <w:r>
              <w:t xml:space="preserve">0.0004282</w:t>
            </w:r>
          </w:p>
        </w:tc>
        <w:tc>
          <w:tcPr/>
          <w:p>
            <w:pPr>
              <w:pStyle w:val="Compact"/>
              <w:jc w:val="right"/>
            </w:pPr>
            <w:r>
              <w:t xml:space="preserve">-0.3039449</w:t>
            </w:r>
          </w:p>
        </w:tc>
        <w:tc>
          <w:tcPr/>
          <w:p>
            <w:pPr>
              <w:pStyle w:val="Compact"/>
              <w:jc w:val="right"/>
            </w:pPr>
            <w:r>
              <w:t xml:space="preserve">0.7616835</w:t>
            </w:r>
          </w:p>
        </w:tc>
      </w:tr>
      <w:tr>
        <w:tc>
          <w:tcPr/>
          <w:p>
            <w:pPr>
              <w:pStyle w:val="Compact"/>
              <w:jc w:val="left"/>
            </w:pPr>
            <w:r>
              <w:t xml:space="preserve">rate_matdeaths_abs</w:t>
            </w:r>
          </w:p>
        </w:tc>
        <w:tc>
          <w:tcPr/>
          <w:p>
            <w:pPr>
              <w:pStyle w:val="Compact"/>
              <w:jc w:val="right"/>
            </w:pPr>
            <w:r>
              <w:t xml:space="preserve">0.0001799</w:t>
            </w:r>
          </w:p>
        </w:tc>
        <w:tc>
          <w:tcPr/>
          <w:p>
            <w:pPr>
              <w:pStyle w:val="Compact"/>
              <w:jc w:val="right"/>
            </w:pPr>
            <w:r>
              <w:t xml:space="preserve">0.0054229</w:t>
            </w:r>
          </w:p>
        </w:tc>
        <w:tc>
          <w:tcPr/>
          <w:p>
            <w:pPr>
              <w:pStyle w:val="Compact"/>
              <w:jc w:val="right"/>
            </w:pPr>
            <w:r>
              <w:t xml:space="preserve">0.0331686</w:t>
            </w:r>
          </w:p>
        </w:tc>
        <w:tc>
          <w:tcPr/>
          <w:p>
            <w:pPr>
              <w:pStyle w:val="Compact"/>
              <w:jc w:val="right"/>
            </w:pPr>
            <w:r>
              <w:t xml:space="preserve">0.9735939</w:t>
            </w:r>
          </w:p>
        </w:tc>
      </w:tr>
    </w:tbl>
    <w:p>
      <w:pPr>
        <w:pStyle w:val="BodyText"/>
      </w:pPr>
      <w:r>
        <w:t xml:space="preserve">The multiple linear regression model with all 5 predictors confirms that the</w:t>
      </w:r>
      <w:r>
        <w:t xml:space="preserve"> </w:t>
      </w:r>
      <w:r>
        <w:rPr>
          <w:rStyle w:val="VerbatimChar"/>
        </w:rPr>
        <w:t xml:space="preserve">sarc_standard</w:t>
      </w:r>
      <w:r>
        <w:t xml:space="preserve"> </w:t>
      </w:r>
      <w:r>
        <w:t xml:space="preserve">predictor has the strongest effect on the outcome, but the effect size has decreased slightly. The region variable is the second most impactful predictor, but there is a shift in which region has the strongest effect on the outcome. Africa still serves as the control region, but Europe has the largest effect size in this model followed by Latin America/the Caribbean. Oceania still has the weakest effect, and the effect is negative in this model compared to the positive effect seen in the simple linear regression model with the region predictor. The percent of currently married women, rate of maternal deaths due to uninteded pregnancies, and rate of maternal deaths due to abortion are very weak predictors with miniscule coefficients.</w:t>
      </w:r>
    </w:p>
    <w:bookmarkEnd w:id="50"/>
    <w:p>
      <w:pPr>
        <w:pStyle w:val="BodyText"/>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hyperlink w:anchor="tbl-5">
        <w:r>
          <w:rPr>
            <w:rStyle w:val="Hyperlink"/>
          </w:rPr>
          <w:t xml:space="preserve">Table 2</w:t>
        </w:r>
      </w:hyperlink>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tbl>
      <w:tblPr>
        <w:tblStyle w:val="Table"/>
        <w:tblW w:type="pct" w:w="5000"/>
        <w:tblLook w:firstRow="0" w:lastRow="0" w:firstColumn="0" w:lastColumn="0" w:noHBand="0" w:noVBand="0" w:val="0000"/>
        <w:jc w:val="start"/>
        <w:tblLayout w:type="fixed"/>
      </w:tblPr>
      <w:tblGrid>
        <w:gridCol w:w="7920"/>
      </w:tblGrid>
      <w:tr>
        <w:tc>
          <w:tcPr/>
          <w:bookmarkStart w:id="51" w:name="tbl-5"/>
          <w:p>
            <w:pPr>
              <w:jc w:val="center"/>
            </w:pPr>
            <w:pPr>
              <w:jc w:val="start"/>
              <w:spacing w:before="200"/>
              <w:pStyle w:val="ImageCaption"/>
            </w:pPr>
            <w:r>
              <w:t xml:space="preserve">Table 2</w:t>
            </w:r>
          </w:p>
          <w:p>
            <w:pPr>
              <w:pStyle w:val="SourceCode"/>
              <w:jc w:val="center"/>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bookmarkEnd w:id="51"/>
        </w:tc>
      </w:tr>
    </w:tbl>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hyperlink w:anchor="tbl-6">
        <w:r>
          <w:rPr>
            <w:rStyle w:val="Hyperlink"/>
          </w:rPr>
          <w:t xml:space="preserve">Table 3</w:t>
        </w:r>
      </w:hyperlink>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tbl>
      <w:tblPr>
        <w:tblStyle w:val="Table"/>
        <w:tblW w:type="pct" w:w="5000"/>
        <w:tblLook w:firstRow="0" w:lastRow="0" w:firstColumn="0" w:lastColumn="0" w:noHBand="0" w:noVBand="0" w:val="0000"/>
        <w:jc w:val="start"/>
        <w:tblLayout w:type="fixed"/>
      </w:tblPr>
      <w:tblGrid>
        <w:gridCol w:w="7920"/>
      </w:tblGrid>
      <w:tr>
        <w:tc>
          <w:tcPr/>
          <w:bookmarkStart w:id="52" w:name="tbl-6"/>
          <w:p>
            <w:pPr>
              <w:jc w:val="center"/>
            </w:pPr>
            <w:pPr>
              <w:jc w:val="start"/>
              <w:spacing w:before="200"/>
              <w:pStyle w:val="ImageCaption"/>
            </w:pPr>
            <w:r>
              <w:t xml:space="preserve">Table 3</w:t>
            </w:r>
          </w:p>
          <w:p>
            <w:pPr>
              <w:pStyle w:val="SourceCode"/>
              <w:jc w:val="center"/>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bookmarkEnd w:id="52"/>
        </w:tc>
      </w:tr>
    </w:tbl>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hyperlink w:anchor="fig-6">
        <w:r>
          <w:rPr>
            <w:rStyle w:val="Hyperlink"/>
          </w:rPr>
          <w:t xml:space="preserve">Figure 5</w:t>
        </w:r>
      </w:hyperlink>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tbl>
      <w:tblPr>
        <w:tblStyle w:val="Table"/>
        <w:tblW w:type="pct" w:w="5000"/>
        <w:tblLook w:firstRow="0" w:lastRow="0" w:firstColumn="0" w:lastColumn="0" w:noHBand="0" w:noVBand="0" w:val="0000"/>
        <w:jc w:val="start"/>
        <w:tblLayout w:type="fixed"/>
      </w:tblPr>
      <w:tblGrid>
        <w:gridCol w:w="7920"/>
      </w:tblGrid>
      <w:tr>
        <w:tc>
          <w:tcPr/>
          <w:bookmarkStart w:id="56" w:name="fig-6"/>
          <w:p>
            <w:pPr>
              <w:pStyle w:val="Compact"/>
              <w:jc w:val="center"/>
            </w:pPr>
            <w:r>
              <w:drawing>
                <wp:inline>
                  <wp:extent cx="5334000" cy="3295031"/>
                  <wp:effectExtent b="0" l="0" r="0" t="0"/>
                  <wp:docPr descr="" title="" id="54" name="Picture"/>
                  <a:graphic>
                    <a:graphicData uri="http://schemas.openxmlformats.org/drawingml/2006/picture">
                      <pic:pic>
                        <pic:nvPicPr>
                          <pic:cNvPr descr="../../results/figures/final-figures/fullmodelpred.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Evaluating the final model performance on test data reveals that the model is strongly overfitting the data. The testing model predictions are shown in coral, and the variation in these observations is much higher compared to the training model predictions, shown in blue. Ideally, there would be complete overlap between the testing and training data predictions following the black dotted line that represent the ideal relationship between observed and predicted values. The majority of testing data predictions do not overlap with the training data prediction in this case, and the testing data predictions are father away from the preferred relationship shown by the black dotted line.</w:t>
            </w:r>
          </w:p>
          <w:bookmarkEnd w:id="56"/>
        </w:tc>
      </w:tr>
    </w:tbl>
    <w:p>
      <w:pPr>
        <w:pStyle w:val="BodyText"/>
      </w:pPr>
      <w:r>
        <w:t xml:space="preserve">We went one step further to examine the uncertainty in the full model predictions using the bootstrap method with 100 resamples of the training data. The figure shown in</w:t>
      </w:r>
      <w:r>
        <w:t xml:space="preserve"> </w:t>
      </w:r>
      <w:hyperlink w:anchor="fig-7">
        <w:r>
          <w:rPr>
            <w:rStyle w:val="Hyperlink"/>
          </w:rPr>
          <w:t xml:space="preserve">Figure 6</w:t>
        </w:r>
      </w:hyperlink>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tbl>
      <w:tblPr>
        <w:tblStyle w:val="Table"/>
        <w:tblW w:type="pct" w:w="5000"/>
        <w:tblLook w:firstRow="0" w:lastRow="0" w:firstColumn="0" w:lastColumn="0" w:noHBand="0" w:noVBand="0" w:val="0000"/>
        <w:jc w:val="start"/>
        <w:tblLayout w:type="fixed"/>
      </w:tblPr>
      <w:tblGrid>
        <w:gridCol w:w="7920"/>
      </w:tblGrid>
      <w:tr>
        <w:tc>
          <w:tcPr/>
          <w:bookmarkStart w:id="60" w:name="fig-7"/>
          <w:p>
            <w:pPr>
              <w:pStyle w:val="Compact"/>
              <w:jc w:val="center"/>
            </w:pPr>
            <w:r>
              <w:drawing>
                <wp:inline>
                  <wp:extent cx="5334000" cy="5334000"/>
                  <wp:effectExtent b="0" l="0" r="0" t="0"/>
                  <wp:docPr descr="" title="" id="58" name="Picture"/>
                  <a:graphic>
                    <a:graphicData uri="http://schemas.openxmlformats.org/drawingml/2006/picture">
                      <pic:pic>
                        <pic:nvPicPr>
                          <pic:cNvPr descr="../../results/figures/final-figures/bootstrappred.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Evaluation of uncertainty in the full model predictions reveals decent overlap between the point estimates, shown in black triangles, and the median prediction observation, shown in coral circles. The error bars, shown in blue, represent 95% confidence intervals of the median estimates, and most of the confidence intervals contain the point estimates. This provides confidence in the certainty of the model’s predictions, but this is not very meaninful considering how the full model overfits the data.</w:t>
            </w:r>
          </w:p>
          <w:bookmarkEnd w:id="60"/>
        </w:tc>
      </w:tr>
    </w:tbl>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rPr>
          <w:bCs/>
          <w:b/>
        </w:rPr>
        <w:t xml:space="preserve">?@tbl-7</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bookmarkStart w:id="61" w:name="tbl-7"/>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penalty</w:t>
            </w:r>
          </w:p>
        </w:tc>
      </w:tr>
      <w:tr>
        <w:tc>
          <w:tcPr/>
          <w:p>
            <w:pPr>
              <w:pStyle w:val="Compact"/>
              <w:jc w:val="left"/>
            </w:pPr>
            <w:r>
              <w:t xml:space="preserve">(Intercept)</w:t>
            </w:r>
          </w:p>
        </w:tc>
        <w:tc>
          <w:tcPr/>
          <w:p>
            <w:pPr>
              <w:pStyle w:val="Compact"/>
              <w:jc w:val="right"/>
            </w:pPr>
            <w:r>
              <w:t xml:space="preserve">-3.1304734</w:t>
            </w:r>
          </w:p>
        </w:tc>
        <w:tc>
          <w:tcPr/>
          <w:p>
            <w:pPr>
              <w:pStyle w:val="Compact"/>
              <w:jc w:val="right"/>
            </w:pPr>
            <w:r>
              <w:t xml:space="preserve">0.1</w:t>
            </w:r>
          </w:p>
        </w:tc>
      </w:tr>
      <w:tr>
        <w:tc>
          <w:tcPr/>
          <w:p>
            <w:pPr>
              <w:pStyle w:val="Compact"/>
              <w:jc w:val="left"/>
            </w:pPr>
            <w:r>
              <w:t xml:space="preserve">sarc_standard</w:t>
            </w:r>
          </w:p>
        </w:tc>
        <w:tc>
          <w:tcPr/>
          <w:p>
            <w:pPr>
              <w:pStyle w:val="Compact"/>
              <w:jc w:val="right"/>
            </w:pPr>
            <w:r>
              <w:t xml:space="preserve">82.8986381</w:t>
            </w:r>
          </w:p>
        </w:tc>
        <w:tc>
          <w:tcPr/>
          <w:p>
            <w:pPr>
              <w:pStyle w:val="Compact"/>
              <w:jc w:val="right"/>
            </w:pPr>
            <w:r>
              <w:t xml:space="preserve">0.1</w:t>
            </w:r>
          </w:p>
        </w:tc>
      </w:tr>
      <w:tr>
        <w:tc>
          <w:tcPr/>
          <w:p>
            <w:pPr>
              <w:pStyle w:val="Compact"/>
              <w:jc w:val="left"/>
            </w:pPr>
            <w:r>
              <w:t xml:space="preserve">regionAsia</w:t>
            </w:r>
          </w:p>
        </w:tc>
        <w:tc>
          <w:tcPr/>
          <w:p>
            <w:pPr>
              <w:pStyle w:val="Compact"/>
              <w:jc w:val="right"/>
            </w:pPr>
            <w:r>
              <w:t xml:space="preserve">4.1918631</w:t>
            </w:r>
          </w:p>
        </w:tc>
        <w:tc>
          <w:tcPr/>
          <w:p>
            <w:pPr>
              <w:pStyle w:val="Compact"/>
              <w:jc w:val="right"/>
            </w:pPr>
            <w:r>
              <w:t xml:space="preserve">0.1</w:t>
            </w:r>
          </w:p>
        </w:tc>
      </w:tr>
      <w:tr>
        <w:tc>
          <w:tcPr/>
          <w:p>
            <w:pPr>
              <w:pStyle w:val="Compact"/>
              <w:jc w:val="left"/>
            </w:pPr>
            <w:r>
              <w:t xml:space="preserve">regionEurope</w:t>
            </w:r>
          </w:p>
        </w:tc>
        <w:tc>
          <w:tcPr/>
          <w:p>
            <w:pPr>
              <w:pStyle w:val="Compact"/>
              <w:jc w:val="right"/>
            </w:pPr>
            <w:r>
              <w:t xml:space="preserve">6.2778825</w:t>
            </w:r>
          </w:p>
        </w:tc>
        <w:tc>
          <w:tcPr/>
          <w:p>
            <w:pPr>
              <w:pStyle w:val="Compact"/>
              <w:jc w:val="right"/>
            </w:pPr>
            <w:r>
              <w:t xml:space="preserve">0.1</w:t>
            </w:r>
          </w:p>
        </w:tc>
      </w:tr>
      <w:tr>
        <w:tc>
          <w:tcPr/>
          <w:p>
            <w:pPr>
              <w:pStyle w:val="Compact"/>
              <w:jc w:val="left"/>
            </w:pPr>
            <w:r>
              <w:t xml:space="preserve">regionLatin America &amp; the Caribbean</w:t>
            </w:r>
          </w:p>
        </w:tc>
        <w:tc>
          <w:tcPr/>
          <w:p>
            <w:pPr>
              <w:pStyle w:val="Compact"/>
              <w:jc w:val="right"/>
            </w:pPr>
            <w:r>
              <w:t xml:space="preserve">4.8745345</w:t>
            </w:r>
          </w:p>
        </w:tc>
        <w:tc>
          <w:tcPr/>
          <w:p>
            <w:pPr>
              <w:pStyle w:val="Compact"/>
              <w:jc w:val="right"/>
            </w:pPr>
            <w:r>
              <w:t xml:space="preserve">0.1</w:t>
            </w:r>
          </w:p>
        </w:tc>
      </w:tr>
      <w:tr>
        <w:tc>
          <w:tcPr/>
          <w:p>
            <w:pPr>
              <w:pStyle w:val="Compact"/>
              <w:jc w:val="left"/>
            </w:pPr>
            <w:r>
              <w:t xml:space="preserve">regionOceania</w:t>
            </w:r>
          </w:p>
        </w:tc>
        <w:tc>
          <w:tcPr/>
          <w:p>
            <w:pPr>
              <w:pStyle w:val="Compact"/>
              <w:jc w:val="right"/>
            </w:pPr>
            <w:r>
              <w:t xml:space="preserve">-0.0094941</w:t>
            </w:r>
          </w:p>
        </w:tc>
        <w:tc>
          <w:tcPr/>
          <w:p>
            <w:pPr>
              <w:pStyle w:val="Compact"/>
              <w:jc w:val="right"/>
            </w:pPr>
            <w:r>
              <w:t xml:space="preserve">0.1</w:t>
            </w:r>
          </w:p>
        </w:tc>
      </w:tr>
      <w:tr>
        <w:tc>
          <w:tcPr/>
          <w:p>
            <w:pPr>
              <w:pStyle w:val="Compact"/>
              <w:jc w:val="left"/>
            </w:pPr>
            <w:r>
              <w:t xml:space="preserve">pct_currentlymarried</w:t>
            </w:r>
          </w:p>
        </w:tc>
        <w:tc>
          <w:tcPr/>
          <w:p>
            <w:pPr>
              <w:pStyle w:val="Compact"/>
              <w:jc w:val="right"/>
            </w:pPr>
            <w:r>
              <w:t xml:space="preserve">-0.0000458</w:t>
            </w:r>
          </w:p>
        </w:tc>
        <w:tc>
          <w:tcPr/>
          <w:p>
            <w:pPr>
              <w:pStyle w:val="Compact"/>
              <w:jc w:val="right"/>
            </w:pPr>
            <w:r>
              <w:t xml:space="preserve">0.1</w:t>
            </w:r>
          </w:p>
        </w:tc>
      </w:tr>
      <w:tr>
        <w:tc>
          <w:tcPr/>
          <w:p>
            <w:pPr>
              <w:pStyle w:val="Compact"/>
              <w:jc w:val="left"/>
            </w:pPr>
            <w:r>
              <w:t xml:space="preserve">rate_matdeaths_upreg</w:t>
            </w:r>
          </w:p>
        </w:tc>
        <w:tc>
          <w:tcPr/>
          <w:p>
            <w:pPr>
              <w:pStyle w:val="Compact"/>
              <w:jc w:val="right"/>
            </w:pPr>
            <w:r>
              <w:t xml:space="preserve">-0.0001365</w:t>
            </w:r>
          </w:p>
        </w:tc>
        <w:tc>
          <w:tcPr/>
          <w:p>
            <w:pPr>
              <w:pStyle w:val="Compact"/>
              <w:jc w:val="right"/>
            </w:pPr>
            <w:r>
              <w:t xml:space="preserve">0.1</w:t>
            </w:r>
          </w:p>
        </w:tc>
      </w:tr>
      <w:tr>
        <w:tc>
          <w:tcPr/>
          <w:p>
            <w:pPr>
              <w:pStyle w:val="Compact"/>
              <w:jc w:val="left"/>
            </w:pPr>
            <w:r>
              <w:t xml:space="preserve">rate_matdeaths_abs</w:t>
            </w:r>
          </w:p>
        </w:tc>
        <w:tc>
          <w:tcPr/>
          <w:p>
            <w:pPr>
              <w:pStyle w:val="Compact"/>
              <w:jc w:val="right"/>
            </w:pPr>
            <w:r>
              <w:t xml:space="preserve">-0.0005969</w:t>
            </w:r>
          </w:p>
        </w:tc>
        <w:tc>
          <w:tcPr/>
          <w:p>
            <w:pPr>
              <w:pStyle w:val="Compact"/>
              <w:jc w:val="right"/>
            </w:pPr>
            <w:r>
              <w:t xml:space="preserve">0.1</w:t>
            </w:r>
          </w:p>
        </w:tc>
      </w:tr>
    </w:tbl>
    <w:p>
      <w:pPr>
        <w:pStyle w:val="BodyText"/>
      </w:pPr>
      <w:r>
        <w:t xml:space="preserve">LASSO regression results confirm the findings of the multiple linear regression model, but each of the coefficients has been shrunk as a result of the penalty parameter of 0.1. The</w:t>
      </w:r>
      <w:r>
        <w:t xml:space="preserve"> </w:t>
      </w:r>
      <w:r>
        <w:rPr>
          <w:rStyle w:val="VerbatimChar"/>
        </w:rPr>
        <w:t xml:space="preserve">sarc_standard</w:t>
      </w:r>
      <w:r>
        <w:t xml:space="preserve"> </w:t>
      </w:r>
      <w:r>
        <w:t xml:space="preserve">predictor is still the most strongly related to the outcome, followed by the European region. The LASSO penaltty decreased the effect size of the Oceania region even further, and the smallest coefficient is now assigned to the percent of currently married women, which is a shift from the multiple linear regression model. The rates of maternal mortality due to unintended pregnancy and abortion are very weak predictors in this model as well.</w:t>
      </w:r>
    </w:p>
    <w:bookmarkEnd w:id="61"/>
    <w:p>
      <w:pPr>
        <w:pStyle w:val="BodyText"/>
      </w:pPr>
      <w:r>
        <w:t xml:space="preserve">It is important to tune the hyperparameters associated with LASSO regression to determine the model that fits best, which is shown in</w:t>
      </w:r>
      <w:r>
        <w:t xml:space="preserve"> </w:t>
      </w:r>
      <w:hyperlink w:anchor="fig-8">
        <w:r>
          <w:rPr>
            <w:rStyle w:val="Hyperlink"/>
          </w:rPr>
          <w:t xml:space="preserve">Figure 7</w:t>
        </w:r>
      </w:hyperlink>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tbl>
      <w:tblPr>
        <w:tblStyle w:val="Table"/>
        <w:tblW w:type="pct" w:w="5000"/>
        <w:tblLook w:firstRow="0" w:lastRow="0" w:firstColumn="0" w:lastColumn="0" w:noHBand="0" w:noVBand="0" w:val="0000"/>
        <w:jc w:val="start"/>
        <w:tblLayout w:type="fixed"/>
      </w:tblPr>
      <w:tblGrid>
        <w:gridCol w:w="7920"/>
      </w:tblGrid>
      <w:tr>
        <w:tc>
          <w:tcPr/>
          <w:bookmarkStart w:id="65" w:name="fig-8"/>
          <w:p>
            <w:pPr>
              <w:pStyle w:val="Compact"/>
              <w:jc w:val="center"/>
            </w:pPr>
            <w:r>
              <w:drawing>
                <wp:inline>
                  <wp:extent cx="5334000" cy="3295031"/>
                  <wp:effectExtent b="0" l="0" r="0" t="0"/>
                  <wp:docPr descr="" title="" id="63" name="Picture"/>
                  <a:graphic>
                    <a:graphicData uri="http://schemas.openxmlformats.org/drawingml/2006/picture">
                      <pic:pic>
                        <pic:nvPicPr>
                          <pic:cNvPr descr="../../results/figures/final-figures/lassoparameters.png" id="64" name="Picture"/>
                          <pic:cNvPicPr>
                            <a:picLocks noChangeArrowheads="1" noChangeAspect="1"/>
                          </pic:cNvPicPr>
                        </pic:nvPicPr>
                        <pic:blipFill>
                          <a:blip r:embed="rId6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Parameter tuning for the LASSO regression reveals that the parameter should be smaller than 1 to ensure the lowest RMSE performance metric value. The RMSE value increases exponentially when the penalty parameter exceeds 1, so this provides confidence in our choice of using 0.1 as the penalty parameter in the prevoiusly displayed LASSO regression model. There is no evidence to use a smaller penalty parameter than 0.1 because it does not result in a lower performance metric.</w:t>
            </w:r>
          </w:p>
          <w:bookmarkEnd w:id="65"/>
        </w:tc>
      </w:tr>
    </w:tbl>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hyperlink w:anchor="fig-9">
        <w:r>
          <w:rPr>
            <w:rStyle w:val="Hyperlink"/>
          </w:rPr>
          <w:t xml:space="preserve">Figure 8</w:t>
        </w:r>
      </w:hyperlink>
      <w:r>
        <w:t xml:space="preserve"> </w:t>
      </w:r>
      <w:r>
        <w:t xml:space="preserve">displays stronger correlation for predicted values compared to the testing and training done with cross-validation previously.</w:t>
      </w:r>
    </w:p>
    <w:tbl>
      <w:tblPr>
        <w:tblStyle w:val="Table"/>
        <w:tblW w:type="pct" w:w="5000"/>
        <w:tblLook w:firstRow="0" w:lastRow="0" w:firstColumn="0" w:lastColumn="0" w:noHBand="0" w:noVBand="0" w:val="0000"/>
        <w:jc w:val="start"/>
        <w:tblLayout w:type="fixed"/>
      </w:tblPr>
      <w:tblGrid>
        <w:gridCol w:w="7920"/>
      </w:tblGrid>
      <w:tr>
        <w:tc>
          <w:tcPr/>
          <w:bookmarkStart w:id="69" w:name="fig-9"/>
          <w:p>
            <w:pPr>
              <w:pStyle w:val="Compact"/>
              <w:jc w:val="center"/>
            </w:pPr>
            <w:r>
              <w:drawing>
                <wp:inline>
                  <wp:extent cx="5334000" cy="5334000"/>
                  <wp:effectExtent b="0" l="0" r="0" t="0"/>
                  <wp:docPr descr="" title="" id="67" name="Picture"/>
                  <a:graphic>
                    <a:graphicData uri="http://schemas.openxmlformats.org/drawingml/2006/picture">
                      <pic:pic>
                        <pic:nvPicPr>
                          <pic:cNvPr descr="../../results/figures/final-figures/randomforestpred.png"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graph of predicted versus observed values in the random forest model shows less deviation from the expected relationship visualized by the black dotted line in comparison to the multiple linear regression model displayed previously. While there are still several outliers as the predicted values increase past a value of 20, the observations hover around the expected relationship with conistency for values less than 10. While it is still likely that the random forest model is overfitting because it uses the same predictors, it appears that this model has higher predictive accuracy.</w:t>
            </w:r>
          </w:p>
          <w:bookmarkEnd w:id="69"/>
        </w:tc>
      </w:tr>
    </w:tbl>
    <w:p>
      <w:pPr>
        <w:pStyle w:val="BodyText"/>
      </w:pPr>
      <w:r>
        <w:t xml:space="preserve">Again, it is crucial to tune hyperparameters associate with machine learning models. Based on the red line displayed in</w:t>
      </w:r>
      <w:r>
        <w:t xml:space="preserve"> </w:t>
      </w:r>
      <w:hyperlink w:anchor="fig-10">
        <w:r>
          <w:rPr>
            <w:rStyle w:val="Hyperlink"/>
          </w:rPr>
          <w:t xml:space="preserve">Figure 9</w:t>
        </w:r>
      </w:hyperlink>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predictors are included in the model, but the results suggest that a full model should have a node size of 4 to achieve the lowest RMSE.</w:t>
      </w:r>
    </w:p>
    <w:tbl>
      <w:tblPr>
        <w:tblStyle w:val="Table"/>
        <w:tblW w:type="pct" w:w="5000"/>
        <w:tblLook w:firstRow="0" w:lastRow="0" w:firstColumn="0" w:lastColumn="0" w:noHBand="0" w:noVBand="0" w:val="0000"/>
        <w:jc w:val="start"/>
        <w:tblLayout w:type="fixed"/>
      </w:tblPr>
      <w:tblGrid>
        <w:gridCol w:w="7920"/>
      </w:tblGrid>
      <w:tr>
        <w:tc>
          <w:tcPr/>
          <w:bookmarkStart w:id="73" w:name="fig-10"/>
          <w:p>
            <w:pPr>
              <w:pStyle w:val="Compact"/>
              <w:jc w:val="center"/>
            </w:pPr>
            <w:r>
              <w:drawing>
                <wp:inline>
                  <wp:extent cx="5334000" cy="5334000"/>
                  <wp:effectExtent b="0" l="0" r="0" t="0"/>
                  <wp:docPr descr="" title="" id="71" name="Picture"/>
                  <a:graphic>
                    <a:graphicData uri="http://schemas.openxmlformats.org/drawingml/2006/picture">
                      <pic:pic>
                        <pic:nvPicPr>
                          <pic:cNvPr descr="../../results/figures/final-figures/randomforesttune.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After tuning two parameters for the random forest model, it is clear that the best model based on the lowest RMSE performance metric value has a minimal node size of 1 for 4 out of the 5 models. This graph suggests that the final model should contain 4 predictors to achieve the best performance metric, but it does not provide information on which parameter should be dropped from the model. Interestingly, the best model with all 5 predictors has a minimal node size of 4.</w:t>
            </w:r>
          </w:p>
          <w:bookmarkEnd w:id="73"/>
        </w:tc>
      </w:tr>
    </w:tbl>
    <w:p>
      <w:pPr>
        <w:pStyle w:val="BodyText"/>
      </w:pPr>
      <w:r>
        <w:t xml:space="preserve">As seen in the statistical analysis 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short acting reversible methods. After considering each of the 10 models we created throughout the statistical analysis process, the random forest model with 5 predictors is the best overall choice for predicting our outcome of percentage of unintended pregnancies due to short acting reversible methods.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 sarc_standard predictor. The smallest coefficient was assigned to the percent of currently married women predictor. 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compared to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74"/>
    <w:bookmarkEnd w:id="75"/>
    <w:bookmarkStart w:id="79" w:name="discussion"/>
    <w:p>
      <w:pPr>
        <w:pStyle w:val="Heading1"/>
      </w:pPr>
      <w:r>
        <w:t xml:space="preserve">5. Discussion</w:t>
      </w:r>
    </w:p>
    <w:bookmarkStart w:id="76" w:name="summary-and-interpretation"/>
    <w:p>
      <w:pPr>
        <w:pStyle w:val="Heading2"/>
      </w:pPr>
      <w:r>
        <w:t xml:space="preserve">5.1 Summary and Interpretation</w:t>
      </w:r>
    </w:p>
    <w:p>
      <w:pPr>
        <w:pStyle w:val="FirstParagraph"/>
      </w:pPr>
      <w:r>
        <w:t xml:space="preserve">Our exploratory data analysis allowed us to examine the distribution of our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short acting reversible contraception based on total population size, it is clear the women in the Latin America/the Caribbean region use this contraception method at the highest rates, followed my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short acting reversible methods, region, percent of currently married women, rate of maternal mortality due to abortion, and rate of maternal mortality due to unintended pregnancies as predictors. Cross-validation using LASSO regression and random forest modeling techniques did not result in an increase in performance metrics, and the model is strongly overfitting the data based on the predicted versus observed outcomes between the testing and training data. Based on the model using LASSO regression, the number of women using short acting reversible contraception is the strongest predictor of the outcome, which is to be expected because women must be using this form of contraception to have an unintended pregnancy due to failure of this contraceptive method in the first place. The most influential factor in this model is the region variable with European, Asian, and Latin American regions having the strongest effects on the outcome. This finding implies that these three regions have the best access to SARCs because they also have the highest standardized population size using this form of contraception in the first place. Since the African region was always selected as the control for the model, it is likely that this region has the lowest access to SARCs.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76"/>
    <w:bookmarkStart w:id="77" w:name="strengths-and-limitations"/>
    <w:p>
      <w:pPr>
        <w:pStyle w:val="Heading2"/>
      </w:pPr>
      <w:r>
        <w:t xml:space="preserve">5.2 Strengths and Limitations</w:t>
      </w:r>
    </w:p>
    <w:p>
      <w:pPr>
        <w:pStyle w:val="FirstParagraph"/>
      </w:pPr>
      <w:r>
        <w:t xml:space="preserve">There are several limitations for this analysis that must be addressed. First, this study relied on secondary data from the Guttmacher Institute’s Adding It Up project. We were limited by the data that was available to us because we were unable to collect our own data. The study was cross-sectional, which means that it only looked at data from one point in time. This makes it difficult to establish causal relationships between the variables based on lack of information about temporality. The largest limitation of the study is the evidence of overfitting for our final model. While we had solid evidence from performance metrics for choosing this model, it does a fairly poor job of representing the data based on the cross-validated testing and training data predictions. Our recommendation is to explore more variables from the Adding It Up project to determine if there are better predictors for this outcome. Since we chose our predictors based on the literature, it is unlikely that there are other predictors that will more accurately predict the percentage of unintended pregnancies due to SARCs. Further research into the other contraceptive methods studied in the Adding It Up project, such as long acting reversible contraception, sterilization, and traditional methods, could provide clarity on the patterns that we discovered in this analysis. Due to limited time and experience, we were not able to examine all 4 of these outcomes in this project.</w:t>
      </w:r>
    </w:p>
    <w:p>
      <w:pPr>
        <w:pStyle w:val="BodyText"/>
      </w:pPr>
      <w:r>
        <w:t xml:space="preserve">Despite these limitations, our study provides valuable insights into the factors influencing unintended pregnancy rates in low- and middle-income countries. We utilize cutting edge machine learning models to test 10 different model options, cross-validate 3 of the best performing models, and tune parameters for LASSO regression and random forest modeling of our final model. These robust techniques allowed for a thorough investigation of predictors and outcomes. Our findings suggest that a multifaceted approach is needed to address unintended pregnancy. This approach should include increasing access to SARC methods, improving education and counseling on contraception use, and addressing regional disparities in access to healthcare services and family planning programs.</w:t>
      </w:r>
    </w:p>
    <w:bookmarkEnd w:id="77"/>
    <w:bookmarkStart w:id="78" w:name="conclusions"/>
    <w:p>
      <w:pPr>
        <w:pStyle w:val="Heading2"/>
      </w:pPr>
      <w:r>
        <w:t xml:space="preserve">5.3 Conclusions</w:t>
      </w:r>
    </w:p>
    <w:p>
      <w:pPr>
        <w:pStyle w:val="FirstParagraph"/>
      </w:pPr>
      <w:r>
        <w:t xml:space="preserve">This study investigated the association between unintended pregnancy rates and short-acting reversible contraception (SARC) use across low- and middle-income countries. The findings suggest that SARC use, regional variations, and marital status are all important factors influencing unintended pregnancy rates.</w:t>
      </w:r>
    </w:p>
    <w:p>
      <w:pPr>
        <w:pStyle w:val="BodyText"/>
      </w:pPr>
      <w:r>
        <w:t xml:space="preserve">The study found that SARC use was the strongest predictor of unintended pregnancy rates. This suggests that women who rely on SARC methods are more likely to experience unintended pregnancies compared to those who use other contraceptive methods. There are several possible explanations for this finding. First, SARC methods, such as pills and patches require more frequent user adherence than long-acting reversible contraceptives (LARCs) like implants. Perfect use of SARC methods is essential for their effectiveness, and even small lapses in use can increase the risk of unintended pregnancy. Second, SARC methods may not be as effective for women who have difficulty remembering to take their medication daily or who experience side effects from hormonal contraception.</w:t>
      </w:r>
    </w:p>
    <w:p>
      <w:pPr>
        <w:pStyle w:val="BodyText"/>
      </w:pPr>
      <w:r>
        <w:t xml:space="preserve">The study also found that regional variations were significantly associated with unintended pregnancy rates. The Latin America/Caribbean region displayed the strongest association with unintended pregnancy rates, followed by Asia. The Oceania and Europe region had weaker associations. These findings suggest that there are significant contextual factors that influence unintended pregnancy rates across different regions. These factors may include access to healthcare services, legal barriers to access, and cultural attitudes towards contraception. Additionally, regions with cultural or religious restrictions on contraception use may also have higher rates of unintended pregnancy.</w:t>
      </w:r>
    </w:p>
    <w:p>
      <w:pPr>
        <w:pStyle w:val="BodyText"/>
      </w:pPr>
      <w:r>
        <w:t xml:space="preserve">The study found that marital status was inversely associated with unintended pregnancy rates. We found that as the percent of women who are currently married increases, the unintended pregnancy rate decreases. There are some reasonable explanations for this finding. First, married women may have better access to healthcare services and family planning programs than unmarried women. Secondly, married couples may be more likely to plan their pregnancies than unmarried couples. Third, unmarried women may be more likely to have multiple sexual partners who could be opposed to using contraception.</w:t>
      </w:r>
    </w:p>
    <w:p>
      <w:pPr>
        <w:pStyle w:val="BodyText"/>
      </w:pPr>
      <w:r>
        <w:t xml:space="preserve">Future research directions could include conducting qualitative studies to better understand the reasons why women choose SARC methods and the challenges they face in using them effectively. Additionally, we suggest that a longitudinal study should be conducted to track changes in unintended pregnancy rates over time and to evaluate the effectiveness of different interventions aimed at reducing unintended pregnancy.</w:t>
      </w:r>
    </w:p>
    <w:p>
      <w:r>
        <w:br w:type="page"/>
      </w:r>
    </w:p>
    <w:bookmarkEnd w:id="78"/>
    <w:bookmarkEnd w:id="79"/>
    <w:bookmarkStart w:id="89" w:name="references"/>
    <w:p>
      <w:pPr>
        <w:pStyle w:val="Heading1"/>
      </w:pPr>
      <w:r>
        <w:t xml:space="preserve">6. References</w:t>
      </w:r>
    </w:p>
    <w:p>
      <w:pPr>
        <w:pStyle w:val="FirstParagraph"/>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88" w:name="refs"/>
    <w:bookmarkStart w:id="81"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0">
        <w:r>
          <w:rPr>
            <w:rStyle w:val="Hyperlink"/>
          </w:rPr>
          <w:t xml:space="preserve">https://doi.org/10.1016/j.ijgo.2011.10.008</w:t>
        </w:r>
      </w:hyperlink>
    </w:p>
    <w:bookmarkEnd w:id="81"/>
    <w:bookmarkStart w:id="83"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2">
        <w:r>
          <w:rPr>
            <w:rStyle w:val="Hyperlink"/>
          </w:rPr>
          <w:t xml:space="preserve">https://doi.org/10.1136/bmjgh-2021-007151</w:t>
        </w:r>
      </w:hyperlink>
    </w:p>
    <w:bookmarkEnd w:id="83"/>
    <w:bookmarkStart w:id="85"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4">
        <w:r>
          <w:rPr>
            <w:rStyle w:val="Hyperlink"/>
          </w:rPr>
          <w:t xml:space="preserve">https://doi.org/10.1016/j.contraception.2017.10.003</w:t>
        </w:r>
      </w:hyperlink>
    </w:p>
    <w:bookmarkEnd w:id="85"/>
    <w:bookmarkStart w:id="87"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6">
        <w:r>
          <w:rPr>
            <w:rStyle w:val="Hyperlink"/>
          </w:rPr>
          <w:t xml:space="preserve">https://doi.org/10.1016/j.jogc.2020.06.023</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2024-04-19T22:17:45Z</dcterms:created>
  <dcterms:modified xsi:type="dcterms:W3CDTF">2024-04-19T22:17:45Z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