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8.png" ContentType="image/png"/>
  <Override PartName="/word/media/rId34.png" ContentType="image/png"/>
  <Override PartName="/word/media/rId42.png" ContentType="image/png"/>
  <Override PartName="/word/media/rId57.png" ContentType="image/png"/>
  <Override PartName="/word/media/rId53.png" ContentType="image/png"/>
  <Override PartName="/word/media/rId62.png" ContentType="image/png"/>
  <Override PartName="/word/media/rId66.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2024-04-19</w:t>
      </w:r>
    </w:p>
    <w:bookmarkStart w:id="20" w:name="summaryabstract"/>
    <w:p>
      <w:pPr>
        <w:pStyle w:val="Heading1"/>
      </w:pPr>
      <w:r>
        <w:t xml:space="preserve">1. Summary/Abstract</w:t>
      </w:r>
    </w:p>
    <w:p>
      <w:pPr>
        <w:pStyle w:val="FirstParagraph"/>
      </w:pPr>
      <w:r>
        <w:t xml:space="preserve">Our study investigates the association between unintended pregnancy rates and short-acting reversible contraception (SARC) use across low- and middle-income countries. Data from the Guttmacher Institute’s Adding It Up project was used, which included information on reproductive-aged women (15-49) and various demographic factors. Single and multivariate linear regression models were employed to examine relationships between predictor variables and the outcome variable (unintended pregnancy rate).</w:t>
      </w:r>
    </w:p>
    <w:p>
      <w:pPr>
        <w:pStyle w:val="BodyText"/>
      </w:pPr>
      <w:r>
        <w:t xml:space="preserve">The exploratory data analysis revealed a less skewed distribution of unintended pregnancies among SARC users compared to other contraceptive methods. This led researchers to focus on SARC use for the remainder of the study. The Latin America/Caribbean region displayed the strongest association with unintended pregnancy rates, followed by Asia. The Oceania and Europe region had weaker associations. Marriage status, both currently and never married, was inversely associated with unintended pregnancy rates. This means that as the percent of women who are currently married or never married increases, the unintended pregnancy rate decreases. Maternal mortality rates showed a positive correlation with the outcome.</w:t>
      </w:r>
    </w:p>
    <w:p>
      <w:pPr>
        <w:pStyle w:val="BodyText"/>
      </w:pPr>
      <w:r>
        <w:t xml:space="preserve">A full model incorporating five predictors (total SARC users, region, marital status, and maternal mortality rates due to unintended pregnancy and abortion) was built. Despite performing the best among the evaluated models and being validated through cross-validation and the bootstrap method, the full model exhibited tendencies towards overfitting the data.</w:t>
      </w:r>
    </w:p>
    <w:p>
      <w:pPr>
        <w:pStyle w:val="BodyText"/>
      </w:pPr>
      <w:r>
        <w:t xml:space="preserve">Lasso regression, a technique that performs variable selection, was employed to address these overfitting concerns. The analysis identified the total number of SARC users as the strongest predictor, followed by region. Marital status and maternal mortality rates displayed weaker negative associations with unintended pregnancy rates. While the direction of the association between abortion-related maternal mortality and unintended pregnancy rates flipped in the Lasso model, the coefficient (effect size) remained minimal.</w:t>
      </w:r>
    </w:p>
    <w:p>
      <w:pPr>
        <w:pStyle w:val="BodyText"/>
      </w:pPr>
      <w:r>
        <w:t xml:space="preserve">Overall, this study highlights the influence of regional variations, short acting reversible contraception use, and marital status on unintended pregnancy rates in low- and middle-income countries. The findings suggest a need for further investigation into the factors influencing maternal mortality rates and unintended pregnancies.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We will be looking for patterns in contraceptive methods and higher unintended pregnancies across all age groups (15-19, 20-24, 25-35, and 35-49) to investigate the effectiveness of three contraceptive methods: long acting reversible and sterilization,short acting reversible, and traditional. Financial, social, religious, and cultural factors are current challenges against efforts towards reducing unintended pregnancies</w:t>
      </w:r>
      <w:r>
        <w:t xml:space="preserve"> </w:t>
      </w:r>
      <w:r>
        <w:t xml:space="preserve">(Jonathan Marc Bearak et al., 2022)</w:t>
      </w:r>
      <w:r>
        <w:t xml:space="preserve">. According to a cross-sectional survey done in 2017, contraceptive use was prevalent among women who had attained higher education, were in stable partnerships, and identified with the dominant ethnic group . Additionally, factors like previous pregnancies and immigration status did not appear to influence contraceptive use in this study</w:t>
      </w:r>
      <w:r>
        <w:t xml:space="preserve"> </w:t>
      </w:r>
      <w:r>
        <w:t xml:space="preserve">(Rivet, Robinson, Sydora, &amp; Ross, 2021)</w:t>
      </w:r>
      <w:r>
        <w:t xml:space="preserve">.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w:t>
      </w:r>
      <w:r>
        <w:t xml:space="preserve"> </w:t>
      </w:r>
      <w:r>
        <w:t xml:space="preserve">(Hevia, 2012)</w:t>
      </w:r>
      <w:r>
        <w:t xml:space="preserve">. Stable contraceptive use among high-risk women suggests reaching even lower national unintended pregnancy rates might be challenging</w:t>
      </w:r>
      <w:r>
        <w:t xml:space="preserve"> </w:t>
      </w:r>
      <w:r>
        <w:t xml:space="preserve">(Kavanaugh &amp; Jerman, 2018)</w:t>
      </w:r>
      <w:r>
        <w:t xml:space="preserve">.</w:t>
      </w:r>
    </w:p>
    <w:bookmarkEnd w:id="21"/>
    <w:bookmarkStart w:id="22" w:name="description-of-data-and-data-source"/>
    <w:p>
      <w:pPr>
        <w:pStyle w:val="Heading2"/>
      </w:pPr>
      <w:r>
        <w:t xml:space="preserve">2.2 Description of data and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p>
      <w:pPr>
        <w:pStyle w:val="BodyText"/>
      </w:pPr>
      <w:r>
        <w:t xml:space="preserve">For the purpose of this project, we chose several numeric variables from the data source: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w:t>
      </w:r>
    </w:p>
    <w:bookmarkEnd w:id="22"/>
    <w:bookmarkStart w:id="23" w:name="questionshypotheses-to-be-addressed"/>
    <w:p>
      <w:pPr>
        <w:pStyle w:val="Heading2"/>
      </w:pPr>
      <w:r>
        <w:t xml:space="preserve">2.3 Questions/Hypotheses to be addressed</w:t>
      </w:r>
    </w:p>
    <w:p>
      <w:pPr>
        <w:pStyle w:val="FirstParagraph"/>
      </w:pPr>
      <w:r>
        <w:t xml:space="preserve">Is there a significant difference in the percentage of unintended pregnancies among short acting reversible contraception users among region?</w:t>
      </w:r>
    </w:p>
    <w:p>
      <w:pPr>
        <w:pStyle w:val="BodyText"/>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people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 processing-file in the code &gt; processing-code folder.</w:t>
      </w:r>
    </w:p>
    <w:p>
      <w:r>
        <w:br w:type="page"/>
      </w:r>
    </w:p>
    <w:bookmarkEnd w:id="23"/>
    <w:bookmarkEnd w:id="24"/>
    <w:bookmarkStart w:id="28" w:name="methods"/>
    <w:p>
      <w:pPr>
        <w:pStyle w:val="Heading1"/>
      </w:pPr>
      <w:r>
        <w:t xml:space="preserve">3. Methods</w:t>
      </w:r>
    </w:p>
    <w:p>
      <w:pPr>
        <w:pStyle w:val="FirstParagraph"/>
      </w:pP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missingness. The processed data is saved in the data &gt; processed-data folder as processeddata.rds.</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line graphs showing total usage of contraceptive methods to percentage of unintended pregnancies associated with that method. The last two sets of plots contain line graphs of the relationship between the two variables stratified by region and violin plots displaying the relationship between percentage of unintended pregnancies and the categorical usage variable created during processing. All of these figures are displayed and summarized in the Supplementary-Material.qmd file in the products &gt; manuscript &gt; supplement folder. This process led us to focus on the percentage of unintended pregnancies among short acting reversible methods as our single outcome because this method is becoming increasingly popular,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 All exploratory figures are saved in the results &gt; figures &gt; exploratory-figures folder.</w:t>
      </w:r>
    </w:p>
    <w:p>
      <w:pPr>
        <w:pStyle w:val="BodyText"/>
      </w:pPr>
      <w:r>
        <w:t xml:space="preserve">Step three is the statistical analysis and model fitting portion found in the statistical-analysis.qmd file in the code &gt; analysis-code folder. We explore the single outcome</w:t>
      </w:r>
      <w:r>
        <w:t xml:space="preserve"> </w:t>
      </w:r>
      <w:r>
        <w:rPr>
          <w:rStyle w:val="VerbatimChar"/>
        </w:rPr>
        <w:t xml:space="preserve">pct_upreg_sarc</w:t>
      </w:r>
      <w:r>
        <w:t xml:space="preserve"> </w:t>
      </w:r>
      <w:r>
        <w:t xml:space="preserve">based on 7 predictors with simple linear regression, total number of women using short acting reversible methods, region, percent of currently married women, percent of women who never married, total rate of maternal mortality, rate of maternal mortality by unintended pregnancy, and rate of maternal mortality by abortion. We also explore the differences in the outcome between regions using an ANOVA test and Tukey’s Honestly Significant Difference test for pairwise comparisons within ANOVA. Result tables for each model and test are stored in the results &gt; tables folder.</w:t>
      </w:r>
    </w:p>
    <w:p>
      <w:pPr>
        <w:pStyle w:val="BodyText"/>
      </w:pPr>
      <w:r>
        <w:t xml:space="preserve">Step four is to critically analyze the performance of our models to determine which one performs the best in predicting our outcome, which is also done in the statistical-analysis.qmd file in the code &gt; analysis-code folder. We chose 2 performance metrics to find for each of our 9 models: Root Mean Square Error (RMSE) and Mean Absolute Error (MAE). We chose these performance metrics because they are commonly used for linear regression models like the ones we have created. RMSE provides an average magnitude of the error in the predictors, and MAE provides an average absolute difference between the predicted and actual values. We include both metrics to increase the validity of our results. Once we decided on the final model, we use cross-validation to determine how well it will perform on data it has not seen before. This involves splitting the data into testing and training pieces , which allows us to compare the predictions created using both datasets. To examine the uncertainty in the model, we will use the bootstrapping method to resample our data 100 times to find confidence intervals for our predictions. This process is similar to cross-validation because it relies on resampling the training data. Lastly, we used a LASSO regression to add a penalty to each parameter included in the model to determine if any variables should be removed to improve model performance. It is important to tune the hyperparameters associated with LASSO regression to determine which model fits best. We use a grid search to ensure that we try all combinations of the parameters in our grid. We complete the tuning process with a 5-fold cross-validation repeated 5 times. We added a random forest model to attempt to improve model performance. We used another parameter tuning grid to allow for cross-validated tuning of 2 variables:</w:t>
      </w:r>
      <w:r>
        <w:t xml:space="preserve"> </w:t>
      </w:r>
      <w:r>
        <w:rPr>
          <w:rStyle w:val="VerbatimChar"/>
        </w:rPr>
        <w:t xml:space="preserve">mtry</w:t>
      </w:r>
      <w:r>
        <w:t xml:space="preserve">, the number of variable to possibly split at in each node, and</w:t>
      </w:r>
      <w:r>
        <w:t xml:space="preserve"> </w:t>
      </w:r>
      <w:r>
        <w:rPr>
          <w:rStyle w:val="VerbatimChar"/>
        </w:rPr>
        <w:t xml:space="preserve">min_n</w:t>
      </w:r>
      <w:r>
        <w:t xml:space="preserve">, the minimal node size. We set the number of trees to 300 because it strikes a good balance between achieving the best performance metrics and the processing time required to do so. Each of these processes are crucial in determining which model performs best for our dataset. Result tables for each model and test are stored in the results &gt; tables folder. Figures created from cross-validation, boostrapping, LASSO regression, and random forest modeling are stored in the results &gt; figure &gt; final-figures folder.</w:t>
      </w:r>
    </w:p>
    <w:p>
      <w:pPr>
        <w:pStyle w:val="BodyText"/>
      </w:pPr>
      <w:r>
        <w:t xml:space="preserve">The Manuscript.qmd file for this document can be found in the products &gt; manuscript folder.</w:t>
      </w:r>
    </w:p>
    <w:bookmarkStart w:id="25" w:name="data-aquisition"/>
    <w:p>
      <w:pPr>
        <w:pStyle w:val="Heading2"/>
      </w:pPr>
      <w:r>
        <w:t xml:space="preserve">3.1 Data aquisition</w:t>
      </w:r>
    </w:p>
    <w:p>
      <w:pPr>
        <w:pStyle w:val="FirstParagraph"/>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regions.Focusing on women of reproductive age (15-49), the study usese information from nationally representative surveys and population projections to estimate unintended pregnancy rates.</w:t>
      </w:r>
    </w:p>
    <w:p>
      <w:pPr>
        <w:pStyle w:val="BodyText"/>
      </w:pPr>
      <w:r>
        <w:t xml:space="preserve">While data on the overall percentage of unintended pregnancies was unavailable, we strategically utilized data on rates related to specific birth control methods. This approach allows us to analyze the relationship between these rates and various social and health factors. Factors like the number of women utilizing different birth control methods, maternal death rates, and marital status will be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5"/>
    <w:bookmarkStart w:id="26" w:name="data-import-and-cleaning"/>
    <w:p>
      <w:pPr>
        <w:pStyle w:val="Heading2"/>
      </w:pPr>
      <w:r>
        <w:t xml:space="preserve">3.2 Data import and cleaning</w:t>
      </w:r>
    </w:p>
    <w:p>
      <w:pPr>
        <w:pStyle w:val="FirstParagraph"/>
      </w:pPr>
      <w:r>
        <w:t xml:space="preserve">As shown in the processing-file.qmd in the code &gt; processing-code folder, we import the data from a .csv file that was downloaded directly from the Guttmacher AIU project website. We also included the codebook in this file. After taking a glimpse at the data, we identified the variables we need to clean and created a new dataset with those variables only. We explored missingness in the data, which is further explained in the supplementary-material.qmd file found in the products &gt; manuscript &gt; supplement folder. Simple processing tasks include converting variable types, converting decimal value into true percentages, creating variables to find total usage of each birth control method across age groups, exploring outliers, and creating new standardized total usage values based on population size.</w:t>
      </w:r>
    </w:p>
    <w:bookmarkEnd w:id="26"/>
    <w:bookmarkStart w:id="27" w:name="statistical-analysis"/>
    <w:p>
      <w:pPr>
        <w:pStyle w:val="Heading2"/>
      </w:pPr>
      <w:r>
        <w:t xml:space="preserve">3.3 Statistical analysis</w:t>
      </w:r>
    </w:p>
    <w:p>
      <w:pPr>
        <w:pStyle w:val="FirstParagraph"/>
      </w:pPr>
      <w:r>
        <w:t xml:space="preserve">We began with a simple linear regression model with each of the 7 predictor variables to determine the association betwen each variable and the outcome. We explored the region variable further because our main goal is to understand the difference in outcome by region. We used ANOVA to determine the difference between regions, and we added Tukey’s Honeslty Significant Difference test to examine pairwise associations. This led to discovering correlations between some of the predictors, which we examined through correlation coefficients. We tried out a combination of these correlated predictors in 2 different models to further examine the interactions. After considering which predictors are most impactful on our outcome, we narrowed the final predictors down to a list of 5. We included a multiple linear regression model with all 5 of these predictors. We used the RMSE and MAE performance metrics to evaluate all 9 models that we created to determine which one fit best. Lastly, we used cross-validation to determine how well our multiple linear regression model performs on data it has not seen before. We also used LASSO regression and random forest modeling as forms of subset selection by applying a regularization penalty and generating a tree structure, respectively. Lastly, we examine the AIC values associated with our two best performing models.</w:t>
      </w:r>
    </w:p>
    <w:p>
      <w:r>
        <w:br w:type="page"/>
      </w:r>
    </w:p>
    <w:bookmarkEnd w:id="27"/>
    <w:bookmarkEnd w:id="28"/>
    <w:bookmarkStart w:id="75" w:name="results"/>
    <w:p>
      <w:pPr>
        <w:pStyle w:val="Heading1"/>
      </w:pPr>
      <w:r>
        <w:t xml:space="preserve">4. Results</w:t>
      </w:r>
    </w:p>
    <w:bookmarkStart w:id="46"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will use to predict it, which can be seen in</w:t>
      </w:r>
      <w:r>
        <w:t xml:space="preserve"> </w:t>
      </w:r>
      <w:hyperlink w:anchor="tbl-1">
        <w:r>
          <w:rPr>
            <w:rStyle w:val="Hyperlink"/>
          </w:rPr>
          <w:t xml:space="preserve">Table 1</w:t>
        </w:r>
      </w:hyperlink>
      <w:r>
        <w:t xml:space="preserve">. [insert explanation here]</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1: Summary Table Of Continuous Variables by Region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939"/>
              <w:gridCol w:w="1811"/>
              <w:gridCol w:w="1695"/>
              <w:gridCol w:w="1945"/>
              <w:gridCol w:w="4170"/>
              <w:gridCol w:w="1921"/>
            </w:tblGrid>
            <w:tr>
              <w:trPr>
                <w:trHeight w:val="617"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gridSpan w:val="5"/>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r>
            <w:tr>
              <w:trPr>
                <w:trHeight w:val="615"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Predictor Variable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53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36</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11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Latin America/the 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24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8</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Unintended Pregnancies due to SARC Usage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3, 12</w:t>
                  </w:r>
                </w:p>
              </w:tc>
            </w:tr>
            <w:tr>
              <w:trPr>
                <w:trHeight w:val="62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Currently Married Women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51, 66</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Never Married Women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26, 42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(per 100,000 live births)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34, 145</w:t>
                  </w:r>
                </w:p>
              </w:tc>
            </w:tr>
            <w:tr>
              <w:trPr>
                <w:trHeight w:val="61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due to Unintended Pregnancies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318</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109, 7,952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35, 4,090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115, 490</w:t>
                  </w:r>
                </w:p>
              </w:tc>
            </w:tr>
            <w:tr>
              <w:trPr>
                <w:trHeight w:val="57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due to Abortions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13, 85</w:t>
                  </w:r>
                </w:p>
              </w:tc>
            </w:tr>
            <w:tr>
              <w:trPr>
                <w:trHeight w:val="61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women of reproductive age, 15-49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350</w:t>
                  </w:r>
                </w:p>
              </w:tc>
            </w:tr>
            <w:tr>
              <w:trPr>
                <w:trHeight w:val="617" w:hRule="auto"/>
              </w:trPr>
              body21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50, 46,217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113, 353,357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146, 34,152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28, 57,089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26, 2,213</w:t>
                  </w:r>
                </w:p>
              </w:tc>
            </w:tr>
          </w:tbl>
          <w:bookmarkEnd w:id="29"/>
        </w:tc>
      </w:tr>
    </w:tbl>
    <w:p>
      <w:pPr>
        <w:pStyle w:val="BodyText"/>
      </w:pPr>
      <w:r>
        <w:t xml:space="preserve">We created a multitude of exploratory plots to understand our data better. The first exploratory result shown in</w:t>
      </w:r>
      <w:r>
        <w:t xml:space="preserve"> </w:t>
      </w:r>
      <w:hyperlink w:anchor="fig-1">
        <w:r>
          <w:rPr>
            <w:rStyle w:val="Hyperlink"/>
          </w:rPr>
          <w:t xml:space="preserve">Figure 1</w:t>
        </w:r>
      </w:hyperlink>
      <w:r>
        <w:t xml:space="preserve"> </w:t>
      </w:r>
      <w:r>
        <w:t xml:space="preserve">displays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tbl>
      <w:tblPr>
        <w:tblStyle w:val="Table"/>
        <w:tblW w:type="pct" w:w="5000"/>
        <w:tblLook w:firstRow="0" w:lastRow="0" w:firstColumn="0" w:lastColumn="0" w:noHBand="0" w:noVBand="0" w:val="0000"/>
        <w:jc w:val="start"/>
        <w:tblLayout w:type="fixed"/>
      </w:tblPr>
      <w:tblGrid>
        <w:gridCol w:w="7920"/>
      </w:tblGrid>
      <w:tr>
        <w:tc>
          <w:tcPr/>
          <w:bookmarkStart w:id="33" w:name="fig-1"/>
          <w:p>
            <w:pPr>
              <w:pStyle w:val="Compact"/>
              <w:jc w:val="center"/>
            </w:pPr>
            <w:r>
              <w:drawing>
                <wp:inline>
                  <wp:extent cx="5334000" cy="3295031"/>
                  <wp:effectExtent b="0" l="0" r="0" t="0"/>
                  <wp:docPr descr="" title="" id="31" name="Picture"/>
                  <a:graphic>
                    <a:graphicData uri="http://schemas.openxmlformats.org/drawingml/2006/picture">
                      <pic:pic>
                        <pic:nvPicPr>
                          <pic:cNvPr descr="../../results/figures/exploratory-figures/pctupreg_sarc_distribution.png" id="32" name="Picture"/>
                          <pic:cNvPicPr>
                            <a:picLocks noChangeArrowheads="1" noChangeAspect="1"/>
                          </pic:cNvPicPr>
                        </pic:nvPicPr>
                        <pic:blipFill>
                          <a:blip r:embed="rId3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[insert explanation here]</w:t>
            </w:r>
          </w:p>
          <w:bookmarkEnd w:id="33"/>
        </w:tc>
      </w:tr>
    </w:tbl>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Our outcome variable is the number of unintended pregnancies among women who are using short-acting reversible contraception, so the number of unintended pregnancies that can be classified in this outcome is dependent on the number of women using this type of contraception. This percentage should increase as the number of women using short acting-reversible contraception increases because more women are at risk of experiencing an unintended pregnancy due to this contraception if they are using this type of contraception in the first place. This outcome variable does not speak to the effectiveness of short-acting reversible contraception, so it makes sense that our outcome would increase as more women put themselves at risk of experiencing the outcome through becoming classified as short-acting reversible contraception users. As explained in the supplementary material, the dataset includes the percentage of unintended pregnancies among long-acting reversible contraception and sterilization users, traditional birth control users, and users who do not use a method of birth control. Each of these percentages are positively associated with number of people in its respective classification group that it represents. The association for the contraception that we chose to focus on for this analysis, short acting reversible contraception, is displayed in</w:t>
      </w:r>
      <w:r>
        <w:t xml:space="preserve"> </w:t>
      </w:r>
      <w:hyperlink w:anchor="fig-2">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 w:name="fig-2"/>
          <w:p>
            <w:pPr>
              <w:pStyle w:val="Compact"/>
              <w:jc w:val="center"/>
            </w:pPr>
            <w:r>
              <w:drawing>
                <wp:inline>
                  <wp:extent cx="5334000" cy="3295031"/>
                  <wp:effectExtent b="0" l="0" r="0" t="0"/>
                  <wp:docPr descr="" title="" id="35" name="Picture"/>
                  <a:graphic>
                    <a:graphicData uri="http://schemas.openxmlformats.org/drawingml/2006/picture">
                      <pic:pic>
                        <pic:nvPicPr>
                          <pic:cNvPr descr="../../results/figures/exploratory-figures/pctupreg_totalsarc.png" id="36"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insert explanation here</w:t>
            </w:r>
          </w:p>
          <w:bookmarkEnd w:id="37"/>
        </w:tc>
      </w:tr>
    </w:tbl>
    <w:p>
      <w:pPr>
        <w:pStyle w:val="BodyText"/>
      </w:pPr>
      <w:r>
        <w:t xml:space="preserve">We stratified these four graphs by region to examine how the relationship differs across each of the regions which is shown in</w:t>
      </w:r>
      <w:r>
        <w:t xml:space="preserve"> </w:t>
      </w:r>
      <w:hyperlink w:anchor="fig-3">
        <w:r>
          <w:rPr>
            <w:rStyle w:val="Hyperlink"/>
          </w:rPr>
          <w:t xml:space="preserve">Figure 3</w:t>
        </w:r>
      </w:hyperlink>
      <w:r>
        <w:t xml:space="preserve"> </w:t>
      </w:r>
      <w:r>
        <w:t xml:space="preserve">.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w:t>
      </w:r>
    </w:p>
    <w:tbl>
      <w:tblPr>
        <w:tblStyle w:val="Table"/>
        <w:tblW w:type="pct" w:w="5000"/>
        <w:tblLook w:firstRow="0" w:lastRow="0" w:firstColumn="0" w:lastColumn="0" w:noHBand="0" w:noVBand="0" w:val="0000"/>
        <w:jc w:val="start"/>
        <w:tblLayout w:type="fixed"/>
      </w:tblPr>
      <w:tblGrid>
        <w:gridCol w:w="7920"/>
      </w:tblGrid>
      <w:tr>
        <w:tc>
          <w:tcPr/>
          <w:bookmarkStart w:id="41" w:name="fig-3"/>
          <w:p>
            <w:pPr>
              <w:pStyle w:val="Compact"/>
              <w:jc w:val="center"/>
            </w:pPr>
            <w:r>
              <w:drawing>
                <wp:inline>
                  <wp:extent cx="5334000" cy="3295031"/>
                  <wp:effectExtent b="0" l="0" r="0" t="0"/>
                  <wp:docPr descr="" title="" id="39" name="Picture"/>
                  <a:graphic>
                    <a:graphicData uri="http://schemas.openxmlformats.org/drawingml/2006/picture">
                      <pic:pic>
                        <pic:nvPicPr>
                          <pic:cNvPr descr="../../results/figures/exploratory-figures/pctupreg_sarc_stratified.png" id="4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insert explanation here</w:t>
            </w:r>
          </w:p>
          <w:bookmarkEnd w:id="41"/>
        </w:tc>
      </w:tr>
    </w:tbl>
    <w:p>
      <w:pPr>
        <w:pStyle w:val="BodyText"/>
      </w:pPr>
      <w:r>
        <w:t xml:space="preserve">We also created violin plots using the categorical usage variables for each birth control method as shown in</w:t>
      </w:r>
      <w:r>
        <w:t xml:space="preserve"> </w:t>
      </w:r>
      <w:hyperlink w:anchor="fig-4">
        <w:r>
          <w:rPr>
            <w:rStyle w:val="Hyperlink"/>
          </w:rPr>
          <w:t xml:space="preserve">Figure 4</w:t>
        </w:r>
      </w:hyperlink>
      <w:r>
        <w:t xml:space="preserve">. It appears that the distribution of short acting reversible method usage is skewed towards lower percentages of unintended pregnancies across all usage levels, suggesting that more countries have lower percentage of unintended pregnancies among women using this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tbl>
      <w:tblPr>
        <w:tblStyle w:val="Table"/>
        <w:tblW w:type="pct" w:w="5000"/>
        <w:tblLook w:firstRow="0" w:lastRow="0" w:firstColumn="0" w:lastColumn="0" w:noHBand="0" w:noVBand="0" w:val="0000"/>
        <w:jc w:val="start"/>
        <w:tblLayout w:type="fixed"/>
      </w:tblPr>
      <w:tblGrid>
        <w:gridCol w:w="7920"/>
      </w:tblGrid>
      <w:tr>
        <w:tc>
          <w:tcPr/>
          <w:bookmarkStart w:id="45" w:name="fig-4"/>
          <w:p>
            <w:pPr>
              <w:pStyle w:val="Compact"/>
              <w:jc w:val="center"/>
            </w:pPr>
            <w:r>
              <w:drawing>
                <wp:inline>
                  <wp:extent cx="5334000" cy="3295031"/>
                  <wp:effectExtent b="0" l="0" r="0" t="0"/>
                  <wp:docPr descr="" title="" id="43" name="Picture"/>
                  <a:graphic>
                    <a:graphicData uri="http://schemas.openxmlformats.org/drawingml/2006/picture">
                      <pic:pic>
                        <pic:nvPicPr>
                          <pic:cNvPr descr="../../results/figures/exploratory-figures/sarc_pctupreg_violin.png" id="44" name="Picture"/>
                          <pic:cNvPicPr>
                            <a:picLocks noChangeArrowheads="1" noChangeAspect="1"/>
                          </pic:cNvPicPr>
                        </pic:nvPicPr>
                        <pic:blipFill>
                          <a:blip r:embed="rId4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insert explanation here</w:t>
            </w:r>
          </w:p>
          <w:bookmarkEnd w:id="45"/>
        </w:tc>
      </w:tr>
    </w:tbl>
    <w:p>
      <w:pPr>
        <w:pStyle w:val="BodyText"/>
      </w:pPr>
      <w:r>
        <w:t xml:space="preserve">Lastly, we explored the predictor variables that will be used in our models, and the graphs are shown in</w:t>
      </w:r>
      <w:r>
        <w:t xml:space="preserve"> </w:t>
      </w:r>
      <w:r>
        <w:rPr>
          <w:bCs/>
          <w:b/>
        </w:rPr>
        <w:t xml:space="preserve">?@fig-5</w:t>
      </w:r>
      <w:r>
        <w:t xml:space="preserve"> </w:t>
      </w:r>
      <w:r>
        <w:t xml:space="preserve">-</w:t>
      </w:r>
      <w:r>
        <w:t xml:space="preserve"> </w:t>
      </w:r>
      <w:hyperlink w:anchor="fig-10">
        <w:r>
          <w:rPr>
            <w:rStyle w:val="Hyperlink"/>
          </w:rPr>
          <w:t xml:space="preserve">Figure 9</w:t>
        </w:r>
      </w:hyperlink>
      <w:r>
        <w:t xml:space="preserve">.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which each belong to the African region. The distribution of the maternal mortality rate from unintended pregnancies is highly skewed to the right with a couple outliers,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 which both belong to the African region.</w:t>
      </w:r>
    </w:p>
    <w:bookmarkEnd w:id="46"/>
    <w:bookmarkStart w:id="49" w:name="basic-statistical-analysis"/>
    <w:p>
      <w:pPr>
        <w:pStyle w:val="Heading2"/>
      </w:pPr>
      <w:r>
        <w:t xml:space="preserve">4.2 Basic statistical analysis</w:t>
      </w:r>
    </w:p>
    <w:p>
      <w:pPr>
        <w:pStyle w:val="FirstParagraph"/>
      </w:pPr>
      <w:r>
        <w:t xml:space="preserve">We completed a simple linear regression analysis with each of the 7 predictors shown in</w:t>
      </w:r>
      <w:r>
        <w:t xml:space="preserve"> </w:t>
      </w:r>
      <w:r>
        <w:rPr>
          <w:bCs/>
          <w:b/>
        </w:rPr>
        <w:t xml:space="preserve">?@tbl-2</w:t>
      </w:r>
      <w:r>
        <w:t xml:space="preserve">. The predictor with the strongest positive relationship with the outcome is total number of women using short acting reversible methods (</w:t>
      </w:r>
      <w:r>
        <w:rPr>
          <w:rStyle w:val="VerbatimChar"/>
        </w:rPr>
        <w:t xml:space="preserve">sarc_standard</w:t>
      </w:r>
      <w:r>
        <w:t xml:space="preserve">). This percentage should increase as the number of women using short acting-reversible contraception increases because more women are at risk of experiencing an unintended pregnancy due to this contraception if they are using this type of contraception in the first place.</w:t>
      </w:r>
    </w:p>
    <w:bookmarkStart w:id="47" w:name="tbl-2"/>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-1.70419</w:t>
            </w:r>
          </w:p>
        </w:tc>
        <w:tc>
          <w:tcPr/>
          <w:p>
            <w:pPr>
              <w:pStyle w:val="Compact"/>
              <w:jc w:val="right"/>
            </w:pPr>
            <w:r>
              <w:t xml:space="preserve">0.9467058</w:t>
            </w:r>
          </w:p>
        </w:tc>
        <w:tc>
          <w:tcPr/>
          <w:p>
            <w:pPr>
              <w:pStyle w:val="Compact"/>
              <w:jc w:val="right"/>
            </w:pPr>
            <w:r>
              <w:t xml:space="preserve">-1.800126</w:t>
            </w:r>
          </w:p>
        </w:tc>
        <w:tc>
          <w:tcPr/>
          <w:p>
            <w:pPr>
              <w:pStyle w:val="Compact"/>
              <w:jc w:val="right"/>
            </w:pPr>
            <w:r>
              <w:t xml:space="preserve">0.0741596</w:t>
            </w:r>
          </w:p>
        </w:tc>
      </w:tr>
      <w:tr>
        <w:tc>
          <w:tcPr/>
          <w:p>
            <w:pPr>
              <w:pStyle w:val="Compact"/>
              <w:jc w:val="left"/>
            </w:pPr>
            <w:r>
              <w:t xml:space="preserve">sarc_standard</w:t>
            </w:r>
          </w:p>
        </w:tc>
        <w:tc>
          <w:tcPr/>
          <w:p>
            <w:pPr>
              <w:pStyle w:val="Compact"/>
              <w:jc w:val="right"/>
            </w:pPr>
            <w:r>
              <w:t xml:space="preserve">87.65998</w:t>
            </w:r>
          </w:p>
        </w:tc>
        <w:tc>
          <w:tcPr/>
          <w:p>
            <w:pPr>
              <w:pStyle w:val="Compact"/>
              <w:jc w:val="right"/>
            </w:pPr>
            <w:r>
              <w:t xml:space="preserve">4.1630345</w:t>
            </w:r>
          </w:p>
        </w:tc>
        <w:tc>
          <w:tcPr/>
          <w:p>
            <w:pPr>
              <w:pStyle w:val="Compact"/>
              <w:jc w:val="right"/>
            </w:pPr>
            <w:r>
              <w:t xml:space="preserve">21.056750</w:t>
            </w:r>
          </w:p>
        </w:tc>
        <w:tc>
          <w:tcPr/>
          <w:p>
            <w:pPr>
              <w:pStyle w:val="Compact"/>
              <w:jc w:val="right"/>
            </w:pPr>
            <w:r>
              <w:t xml:space="preserve">0.0000000</w:t>
            </w:r>
          </w:p>
        </w:tc>
      </w:tr>
    </w:tbl>
    <w:p>
      <w:pPr>
        <w:pStyle w:val="BodyText"/>
      </w:pPr>
      <w:r>
        <w:t xml:space="preserve">This simple linear regresion model shows a strong effect of the standardized population size using short-acting reversible contraception methods on the outcome of percentage of unintended pregnancies due to short acting reversible contraception. This strong positive relationship indicates that as more women use this form of contraception, more women are susceptible to unintended pregancies due to SARCs because they are now at risk of experiencing the outcome. The coefficient of 87.65998 is the largest single coefficient of any predictor that we studied, which increases our confidence in including it as a predictor in our final model.</w:t>
      </w:r>
    </w:p>
    <w:bookmarkEnd w:id="47"/>
    <w:p>
      <w:pPr>
        <w:pStyle w:val="BodyText"/>
      </w:pPr>
      <w:r>
        <w:t xml:space="preserve">The second model we created used the region 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r>
        <w:rPr>
          <w:bCs/>
          <w:b/>
        </w:rPr>
        <w:t xml:space="preserve">?@tbl-3</w:t>
      </w:r>
      <w:r>
        <w:t xml:space="preserve">.</w:t>
      </w:r>
    </w:p>
    <w:bookmarkStart w:id="48" w:name="tbl-3"/>
    <w:tbl>
      <w:tblPr>
        <w:tblStyle w:val="Table"/>
        <w:tblW w:type="pct" w:w="5000"/>
        <w:tblLook w:firstRow="1" w:lastRow="0" w:firstColumn="0" w:lastColumn="0" w:noHBand="0" w:noVBand="0" w:val="0020"/>
        <w:jc w:val="start"/>
        <w:tblLayout w:type="fixed"/>
      </w:tblPr>
      <w:tblGrid>
        <w:gridCol w:w="3751"/>
        <w:gridCol w:w="1042"/>
        <w:gridCol w:w="1042"/>
        <w:gridCol w:w="1042"/>
        <w:gridCol w:w="1042"/>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0.4183480</w:t>
            </w:r>
          </w:p>
        </w:tc>
        <w:tc>
          <w:tcPr/>
          <w:p>
            <w:pPr>
              <w:pStyle w:val="Compact"/>
              <w:jc w:val="right"/>
            </w:pPr>
            <w:r>
              <w:t xml:space="preserve">0.1590909</w:t>
            </w:r>
          </w:p>
        </w:tc>
        <w:tc>
          <w:tcPr/>
          <w:p>
            <w:pPr>
              <w:pStyle w:val="Compact"/>
              <w:jc w:val="right"/>
            </w:pPr>
            <w:r>
              <w:t xml:space="preserve">2.6296162</w:t>
            </w:r>
          </w:p>
        </w:tc>
        <w:tc>
          <w:tcPr/>
          <w:p>
            <w:pPr>
              <w:pStyle w:val="Compact"/>
              <w:jc w:val="right"/>
            </w:pPr>
            <w:r>
              <w:t xml:space="preserve">0.0096043</w:t>
            </w:r>
          </w:p>
        </w:tc>
      </w:tr>
      <w:tr>
        <w:tc>
          <w:tcPr/>
          <w:p>
            <w:pPr>
              <w:pStyle w:val="Compact"/>
              <w:jc w:val="left"/>
            </w:pPr>
            <w:r>
              <w:t xml:space="preserve">regionAsia</w:t>
            </w:r>
          </w:p>
        </w:tc>
        <w:tc>
          <w:tcPr/>
          <w:p>
            <w:pPr>
              <w:pStyle w:val="Compact"/>
              <w:jc w:val="right"/>
            </w:pPr>
            <w:r>
              <w:t xml:space="preserve">1.4693938</w:t>
            </w:r>
          </w:p>
        </w:tc>
        <w:tc>
          <w:tcPr/>
          <w:p>
            <w:pPr>
              <w:pStyle w:val="Compact"/>
              <w:jc w:val="right"/>
            </w:pPr>
            <w:r>
              <w:t xml:space="preserve">0.2501434</w:t>
            </w:r>
          </w:p>
        </w:tc>
        <w:tc>
          <w:tcPr/>
          <w:p>
            <w:pPr>
              <w:pStyle w:val="Compact"/>
              <w:jc w:val="right"/>
            </w:pPr>
            <w:r>
              <w:t xml:space="preserve">5.8742045</w:t>
            </w:r>
          </w:p>
        </w:tc>
        <w:tc>
          <w:tcPr/>
          <w:p>
            <w:pPr>
              <w:pStyle w:val="Compact"/>
              <w:jc w:val="right"/>
            </w:pPr>
            <w:r>
              <w:t xml:space="preserve">0.0000000</w:t>
            </w:r>
          </w:p>
        </w:tc>
      </w:tr>
      <w:tr>
        <w:tc>
          <w:tcPr/>
          <w:p>
            <w:pPr>
              <w:pStyle w:val="Compact"/>
              <w:jc w:val="left"/>
            </w:pPr>
            <w:r>
              <w:t xml:space="preserve">regionEurope</w:t>
            </w:r>
          </w:p>
        </w:tc>
        <w:tc>
          <w:tcPr/>
          <w:p>
            <w:pPr>
              <w:pStyle w:val="Compact"/>
              <w:jc w:val="right"/>
            </w:pPr>
            <w:r>
              <w:t xml:space="preserve">0.3299391</w:t>
            </w:r>
          </w:p>
        </w:tc>
        <w:tc>
          <w:tcPr/>
          <w:p>
            <w:pPr>
              <w:pStyle w:val="Compact"/>
              <w:jc w:val="right"/>
            </w:pPr>
            <w:r>
              <w:t xml:space="preserve">0.3837417</w:t>
            </w:r>
          </w:p>
        </w:tc>
        <w:tc>
          <w:tcPr/>
          <w:p>
            <w:pPr>
              <w:pStyle w:val="Compact"/>
              <w:jc w:val="right"/>
            </w:pPr>
            <w:r>
              <w:t xml:space="preserve">0.8597948</w:t>
            </w:r>
          </w:p>
        </w:tc>
        <w:tc>
          <w:tcPr/>
          <w:p>
            <w:pPr>
              <w:pStyle w:val="Compact"/>
              <w:jc w:val="right"/>
            </w:pPr>
            <w:r>
              <w:t xml:space="preserve">0.3915223</w:t>
            </w:r>
          </w:p>
        </w:tc>
      </w:tr>
      <w:tr>
        <w:tc>
          <w:tcPr/>
          <w:p>
            <w:pPr>
              <w:pStyle w:val="Compact"/>
              <w:jc w:val="left"/>
            </w:pPr>
            <w:r>
              <w:t xml:space="preserve">regionLatin America &amp; the Caribbean</w:t>
            </w:r>
          </w:p>
        </w:tc>
        <w:tc>
          <w:tcPr/>
          <w:p>
            <w:pPr>
              <w:pStyle w:val="Compact"/>
              <w:jc w:val="right"/>
            </w:pPr>
            <w:r>
              <w:t xml:space="preserve">1.6218844</w:t>
            </w:r>
          </w:p>
        </w:tc>
        <w:tc>
          <w:tcPr/>
          <w:p>
            <w:pPr>
              <w:pStyle w:val="Compact"/>
              <w:jc w:val="right"/>
            </w:pPr>
            <w:r>
              <w:t xml:space="preserve">0.2849608</w:t>
            </w:r>
          </w:p>
        </w:tc>
        <w:tc>
          <w:tcPr/>
          <w:p>
            <w:pPr>
              <w:pStyle w:val="Compact"/>
              <w:jc w:val="right"/>
            </w:pPr>
            <w:r>
              <w:t xml:space="preserve">5.6916055</w:t>
            </w:r>
          </w:p>
        </w:tc>
        <w:tc>
          <w:tcPr/>
          <w:p>
            <w:pPr>
              <w:pStyle w:val="Compact"/>
              <w:jc w:val="right"/>
            </w:pPr>
            <w:r>
              <w:t xml:space="preserve">0.0000001</w:t>
            </w:r>
          </w:p>
        </w:tc>
      </w:tr>
      <w:tr>
        <w:tc>
          <w:tcPr/>
          <w:p>
            <w:pPr>
              <w:pStyle w:val="Compact"/>
              <w:jc w:val="left"/>
            </w:pPr>
            <w:r>
              <w:t xml:space="preserve">regionOceania</w:t>
            </w:r>
          </w:p>
        </w:tc>
        <w:tc>
          <w:tcPr/>
          <w:p>
            <w:pPr>
              <w:pStyle w:val="Compact"/>
              <w:jc w:val="right"/>
            </w:pPr>
            <w:r>
              <w:t xml:space="preserve">0.2512100</w:t>
            </w:r>
          </w:p>
        </w:tc>
        <w:tc>
          <w:tcPr/>
          <w:p>
            <w:pPr>
              <w:pStyle w:val="Compact"/>
              <w:jc w:val="right"/>
            </w:pPr>
            <w:r>
              <w:t xml:space="preserve">0.4393041</w:t>
            </w:r>
          </w:p>
        </w:tc>
        <w:tc>
          <w:tcPr/>
          <w:p>
            <w:pPr>
              <w:pStyle w:val="Compact"/>
              <w:jc w:val="right"/>
            </w:pPr>
            <w:r>
              <w:t xml:space="preserve">0.5718362</w:t>
            </w:r>
          </w:p>
        </w:tc>
        <w:tc>
          <w:tcPr/>
          <w:p>
            <w:pPr>
              <w:pStyle w:val="Compact"/>
              <w:jc w:val="right"/>
            </w:pPr>
            <w:r>
              <w:t xml:space="preserve">0.5684437</w:t>
            </w:r>
          </w:p>
        </w:tc>
      </w:tr>
    </w:tbl>
    <w:p>
      <w:pPr>
        <w:pStyle w:val="BodyText"/>
      </w:pPr>
      <w:r>
        <w:t xml:space="preserve">In a simple linear regression with the</w:t>
      </w:r>
      <w:r>
        <w:t xml:space="preserve"> </w:t>
      </w:r>
      <w:r>
        <w:rPr>
          <w:rStyle w:val="VerbatimChar"/>
        </w:rPr>
        <w:t xml:space="preserve">region</w:t>
      </w:r>
      <w:r>
        <w:t xml:space="preserve"> </w:t>
      </w:r>
      <w:r>
        <w:t xml:space="preserve">predictor only, the Latin America/the Caribbean region has the strongest relationship with the outcome based on a coefficient of 1.6218844 followed closely by Asia. Europe has a smaller efffect on the outcome based on the coefficient of 0.3299391, but Oceania has the smallest effect on the outcome. This model chose the African region as the reference group, which means that it has the weakest association with the outcome compared to the other 4 regions.</w:t>
      </w:r>
    </w:p>
    <w:bookmarkEnd w:id="48"/>
    <w:p>
      <w:pPr>
        <w:pStyle w:val="BodyText"/>
      </w:pPr>
      <w:r>
        <w:t xml:space="preserve">Details about the 10 different models we created can be found in the statistical-analysis.qmd file in the code &gt; analysis-code folder along with an exploration of the correlation between predictors.</w:t>
      </w:r>
    </w:p>
    <w:bookmarkEnd w:id="49"/>
    <w:bookmarkStart w:id="74" w:name="full-analysis"/>
    <w:p>
      <w:pPr>
        <w:pStyle w:val="Heading2"/>
      </w:pPr>
      <w:r>
        <w:t xml:space="preserve">4.3 Full analysis</w:t>
      </w:r>
    </w:p>
    <w:p>
      <w:pPr>
        <w:pStyle w:val="FirstParagraph"/>
      </w:pPr>
      <w:r>
        <w:t xml:space="preserve">We created one model with all 5 predictors using multiple linear regression, shown in</w:t>
      </w:r>
      <w:r>
        <w:t xml:space="preserve"> </w:t>
      </w:r>
      <w:r>
        <w:rPr>
          <w:bCs/>
          <w:b/>
        </w:rPr>
        <w:t xml:space="preserve">?@tbl-4</w:t>
      </w:r>
      <w:r>
        <w:t xml:space="preserve">. This model shows the strongest predictor is the number of women using short acting reversible contraception. The next strongest predictor is the European region followed by the Latin America/the Caribbean region and the Asia region, which is a shift from the model with the singular region predictor. The Oceania region now has a negative association with the outcome. The currently married predictor is associated with a weak decrease in the outcome. The coefficient estimates for the rate of maternal death due to unintended pregnancies and abortion both show a very weak positive association with the outcome.</w:t>
      </w:r>
    </w:p>
    <w:bookmarkStart w:id="50" w:name="tbl-4"/>
    <w:tbl>
      <w:tblPr>
        <w:tblStyle w:val="Table"/>
        <w:tblW w:type="pct" w:w="5000"/>
        <w:tblLook w:firstRow="1" w:lastRow="0" w:firstColumn="0" w:lastColumn="0" w:noHBand="0" w:noVBand="0" w:val="0020"/>
        <w:jc w:val="start"/>
        <w:tblLayout w:type="fixed"/>
      </w:tblPr>
      <w:tblGrid>
        <w:gridCol w:w="3655"/>
        <w:gridCol w:w="1116"/>
        <w:gridCol w:w="1015"/>
        <w:gridCol w:w="1116"/>
        <w:gridCol w:w="1015"/>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-2.6645042</w:t>
            </w:r>
          </w:p>
        </w:tc>
        <w:tc>
          <w:tcPr/>
          <w:p>
            <w:pPr>
              <w:pStyle w:val="Compact"/>
              <w:jc w:val="right"/>
            </w:pPr>
            <w:r>
              <w:t xml:space="preserve">3.5989681</w:t>
            </w:r>
          </w:p>
        </w:tc>
        <w:tc>
          <w:tcPr/>
          <w:p>
            <w:pPr>
              <w:pStyle w:val="Compact"/>
              <w:jc w:val="right"/>
            </w:pPr>
            <w:r>
              <w:t xml:space="preserve">-0.7403523</w:t>
            </w:r>
          </w:p>
        </w:tc>
        <w:tc>
          <w:tcPr/>
          <w:p>
            <w:pPr>
              <w:pStyle w:val="Compact"/>
              <w:jc w:val="right"/>
            </w:pPr>
            <w:r>
              <w:t xml:space="preserve">0.4604972</w:t>
            </w:r>
          </w:p>
        </w:tc>
      </w:tr>
      <w:tr>
        <w:tc>
          <w:tcPr/>
          <w:p>
            <w:pPr>
              <w:pStyle w:val="Compact"/>
              <w:jc w:val="left"/>
            </w:pPr>
            <w:r>
              <w:t xml:space="preserve">sarc_standard</w:t>
            </w:r>
          </w:p>
        </w:tc>
        <w:tc>
          <w:tcPr/>
          <w:p>
            <w:pPr>
              <w:pStyle w:val="Compact"/>
              <w:jc w:val="right"/>
            </w:pPr>
            <w:r>
              <w:t xml:space="preserve">83.4583555</w:t>
            </w:r>
          </w:p>
        </w:tc>
        <w:tc>
          <w:tcPr/>
          <w:p>
            <w:pPr>
              <w:pStyle w:val="Compact"/>
              <w:jc w:val="right"/>
            </w:pPr>
            <w:r>
              <w:t xml:space="preserve">4.3434662</w:t>
            </w:r>
          </w:p>
        </w:tc>
        <w:tc>
          <w:tcPr/>
          <w:p>
            <w:pPr>
              <w:pStyle w:val="Compact"/>
              <w:jc w:val="right"/>
            </w:pPr>
            <w:r>
              <w:t xml:space="preserve">19.2146899</w:t>
            </w:r>
          </w:p>
        </w:tc>
        <w:tc>
          <w:tcPr/>
          <w:p>
            <w:pPr>
              <w:pStyle w:val="Compact"/>
              <w:jc w:val="right"/>
            </w:pPr>
            <w:r>
              <w:t xml:space="preserve">0.0000000</w:t>
            </w:r>
          </w:p>
        </w:tc>
      </w:tr>
      <w:tr>
        <w:tc>
          <w:tcPr/>
          <w:p>
            <w:pPr>
              <w:pStyle w:val="Compact"/>
              <w:jc w:val="left"/>
            </w:pPr>
            <w:r>
              <w:t xml:space="preserve">regionAsia</w:t>
            </w:r>
          </w:p>
        </w:tc>
        <w:tc>
          <w:tcPr/>
          <w:p>
            <w:pPr>
              <w:pStyle w:val="Compact"/>
              <w:jc w:val="right"/>
            </w:pPr>
            <w:r>
              <w:t xml:space="preserve">4.8024062</w:t>
            </w:r>
          </w:p>
        </w:tc>
        <w:tc>
          <w:tcPr/>
          <w:p>
            <w:pPr>
              <w:pStyle w:val="Compact"/>
              <w:jc w:val="right"/>
            </w:pPr>
            <w:r>
              <w:t xml:space="preserve">1.2998605</w:t>
            </w:r>
          </w:p>
        </w:tc>
        <w:tc>
          <w:tcPr/>
          <w:p>
            <w:pPr>
              <w:pStyle w:val="Compact"/>
              <w:jc w:val="right"/>
            </w:pPr>
            <w:r>
              <w:t xml:space="preserve">3.6945550</w:t>
            </w:r>
          </w:p>
        </w:tc>
        <w:tc>
          <w:tcPr/>
          <w:p>
            <w:pPr>
              <w:pStyle w:val="Compact"/>
              <w:jc w:val="right"/>
            </w:pPr>
            <w:r>
              <w:t xml:space="preserve">0.0003300</w:t>
            </w:r>
          </w:p>
        </w:tc>
      </w:tr>
      <w:tr>
        <w:tc>
          <w:tcPr/>
          <w:p>
            <w:pPr>
              <w:pStyle w:val="Compact"/>
              <w:jc w:val="left"/>
            </w:pPr>
            <w:r>
              <w:t xml:space="preserve">regionEurope</w:t>
            </w:r>
          </w:p>
        </w:tc>
        <w:tc>
          <w:tcPr/>
          <w:p>
            <w:pPr>
              <w:pStyle w:val="Compact"/>
              <w:jc w:val="right"/>
            </w:pPr>
            <w:r>
              <w:t xml:space="preserve">6.9438274</w:t>
            </w:r>
          </w:p>
        </w:tc>
        <w:tc>
          <w:tcPr/>
          <w:p>
            <w:pPr>
              <w:pStyle w:val="Compact"/>
              <w:jc w:val="right"/>
            </w:pPr>
            <w:r>
              <w:t xml:space="preserve">1.6833556</w:t>
            </w:r>
          </w:p>
        </w:tc>
        <w:tc>
          <w:tcPr/>
          <w:p>
            <w:pPr>
              <w:pStyle w:val="Compact"/>
              <w:jc w:val="right"/>
            </w:pPr>
            <w:r>
              <w:t xml:space="preserve">4.1249914</w:t>
            </w:r>
          </w:p>
        </w:tc>
        <w:tc>
          <w:tcPr/>
          <w:p>
            <w:pPr>
              <w:pStyle w:val="Compact"/>
              <w:jc w:val="right"/>
            </w:pPr>
            <w:r>
              <w:t xml:space="preserve">0.0000677</w:t>
            </w:r>
          </w:p>
        </w:tc>
      </w:tr>
      <w:tr>
        <w:tc>
          <w:tcPr/>
          <w:p>
            <w:pPr>
              <w:pStyle w:val="Compact"/>
              <w:jc w:val="left"/>
            </w:pPr>
            <w:r>
              <w:t xml:space="preserve">regionLatin America &amp; the Caribbean</w:t>
            </w:r>
          </w:p>
        </w:tc>
        <w:tc>
          <w:tcPr/>
          <w:p>
            <w:pPr>
              <w:pStyle w:val="Compact"/>
              <w:jc w:val="right"/>
            </w:pPr>
            <w:r>
              <w:t xml:space="preserve">5.2932178</w:t>
            </w:r>
          </w:p>
        </w:tc>
        <w:tc>
          <w:tcPr/>
          <w:p>
            <w:pPr>
              <w:pStyle w:val="Compact"/>
              <w:jc w:val="right"/>
            </w:pPr>
            <w:r>
              <w:t xml:space="preserve">1.2916582</w:t>
            </w:r>
          </w:p>
        </w:tc>
        <w:tc>
          <w:tcPr/>
          <w:p>
            <w:pPr>
              <w:pStyle w:val="Compact"/>
              <w:jc w:val="right"/>
            </w:pPr>
            <w:r>
              <w:t xml:space="preserve">4.0980019</w:t>
            </w:r>
          </w:p>
        </w:tc>
        <w:tc>
          <w:tcPr/>
          <w:p>
            <w:pPr>
              <w:pStyle w:val="Compact"/>
              <w:jc w:val="right"/>
            </w:pPr>
            <w:r>
              <w:t xml:space="preserve">0.0000751</w:t>
            </w:r>
          </w:p>
        </w:tc>
      </w:tr>
      <w:tr>
        <w:tc>
          <w:tcPr/>
          <w:p>
            <w:pPr>
              <w:pStyle w:val="Compact"/>
              <w:jc w:val="left"/>
            </w:pPr>
            <w:r>
              <w:t xml:space="preserve">regionOceania</w:t>
            </w:r>
          </w:p>
        </w:tc>
        <w:tc>
          <w:tcPr/>
          <w:p>
            <w:pPr>
              <w:pStyle w:val="Compact"/>
              <w:jc w:val="right"/>
            </w:pPr>
            <w:r>
              <w:t xml:space="preserve">-0.0327847</w:t>
            </w:r>
          </w:p>
        </w:tc>
        <w:tc>
          <w:tcPr/>
          <w:p>
            <w:pPr>
              <w:pStyle w:val="Compact"/>
              <w:jc w:val="right"/>
            </w:pPr>
            <w:r>
              <w:t xml:space="preserve">1.9053331</w:t>
            </w:r>
          </w:p>
        </w:tc>
        <w:tc>
          <w:tcPr/>
          <w:p>
            <w:pPr>
              <w:pStyle w:val="Compact"/>
              <w:jc w:val="right"/>
            </w:pPr>
            <w:r>
              <w:t xml:space="preserve">-0.0172068</w:t>
            </w:r>
          </w:p>
        </w:tc>
        <w:tc>
          <w:tcPr/>
          <w:p>
            <w:pPr>
              <w:pStyle w:val="Compact"/>
              <w:jc w:val="right"/>
            </w:pPr>
            <w:r>
              <w:t xml:space="preserve">0.9862995</w:t>
            </w:r>
          </w:p>
        </w:tc>
      </w:tr>
      <w:tr>
        <w:tc>
          <w:tcPr/>
          <w:p>
            <w:pPr>
              <w:pStyle w:val="Compact"/>
              <w:jc w:val="left"/>
            </w:pPr>
            <w:r>
              <w:t xml:space="preserve">pct_currentlymarried</w:t>
            </w:r>
          </w:p>
        </w:tc>
        <w:tc>
          <w:tcPr/>
          <w:p>
            <w:pPr>
              <w:pStyle w:val="Compact"/>
              <w:jc w:val="right"/>
            </w:pPr>
            <w:r>
              <w:t xml:space="preserve">-0.0156108</w:t>
            </w:r>
          </w:p>
        </w:tc>
        <w:tc>
          <w:tcPr/>
          <w:p>
            <w:pPr>
              <w:pStyle w:val="Compact"/>
              <w:jc w:val="right"/>
            </w:pPr>
            <w:r>
              <w:t xml:space="preserve">0.0554107</w:t>
            </w:r>
          </w:p>
        </w:tc>
        <w:tc>
          <w:tcPr/>
          <w:p>
            <w:pPr>
              <w:pStyle w:val="Compact"/>
              <w:jc w:val="right"/>
            </w:pPr>
            <w:r>
              <w:t xml:space="preserve">-0.2817295</w:t>
            </w:r>
          </w:p>
        </w:tc>
        <w:tc>
          <w:tcPr/>
          <w:p>
            <w:pPr>
              <w:pStyle w:val="Compact"/>
              <w:jc w:val="right"/>
            </w:pPr>
            <w:r>
              <w:t xml:space="preserve">0.7786244</w:t>
            </w:r>
          </w:p>
        </w:tc>
      </w:tr>
      <w:tr>
        <w:tc>
          <w:tcPr/>
          <w:p>
            <w:pPr>
              <w:pStyle w:val="Compact"/>
              <w:jc w:val="left"/>
            </w:pPr>
            <w:r>
              <w:t xml:space="preserve">rate_matdeaths_upreg</w:t>
            </w:r>
          </w:p>
        </w:tc>
        <w:tc>
          <w:tcPr/>
          <w:p>
            <w:pPr>
              <w:pStyle w:val="Compact"/>
              <w:jc w:val="right"/>
            </w:pPr>
            <w:r>
              <w:t xml:space="preserve">-0.0001301</w:t>
            </w:r>
          </w:p>
        </w:tc>
        <w:tc>
          <w:tcPr/>
          <w:p>
            <w:pPr>
              <w:pStyle w:val="Compact"/>
              <w:jc w:val="right"/>
            </w:pPr>
            <w:r>
              <w:t xml:space="preserve">0.0004282</w:t>
            </w:r>
          </w:p>
        </w:tc>
        <w:tc>
          <w:tcPr/>
          <w:p>
            <w:pPr>
              <w:pStyle w:val="Compact"/>
              <w:jc w:val="right"/>
            </w:pPr>
            <w:r>
              <w:t xml:space="preserve">-0.3039449</w:t>
            </w:r>
          </w:p>
        </w:tc>
        <w:tc>
          <w:tcPr/>
          <w:p>
            <w:pPr>
              <w:pStyle w:val="Compact"/>
              <w:jc w:val="right"/>
            </w:pPr>
            <w:r>
              <w:t xml:space="preserve">0.7616835</w:t>
            </w:r>
          </w:p>
        </w:tc>
      </w:tr>
      <w:tr>
        <w:tc>
          <w:tcPr/>
          <w:p>
            <w:pPr>
              <w:pStyle w:val="Compact"/>
              <w:jc w:val="left"/>
            </w:pPr>
            <w:r>
              <w:t xml:space="preserve">rate_matdeaths_abs</w:t>
            </w:r>
          </w:p>
        </w:tc>
        <w:tc>
          <w:tcPr/>
          <w:p>
            <w:pPr>
              <w:pStyle w:val="Compact"/>
              <w:jc w:val="right"/>
            </w:pPr>
            <w:r>
              <w:t xml:space="preserve">0.0001799</w:t>
            </w:r>
          </w:p>
        </w:tc>
        <w:tc>
          <w:tcPr/>
          <w:p>
            <w:pPr>
              <w:pStyle w:val="Compact"/>
              <w:jc w:val="right"/>
            </w:pPr>
            <w:r>
              <w:t xml:space="preserve">0.0054229</w:t>
            </w:r>
          </w:p>
        </w:tc>
        <w:tc>
          <w:tcPr/>
          <w:p>
            <w:pPr>
              <w:pStyle w:val="Compact"/>
              <w:jc w:val="right"/>
            </w:pPr>
            <w:r>
              <w:t xml:space="preserve">0.0331686</w:t>
            </w:r>
          </w:p>
        </w:tc>
        <w:tc>
          <w:tcPr/>
          <w:p>
            <w:pPr>
              <w:pStyle w:val="Compact"/>
              <w:jc w:val="right"/>
            </w:pPr>
            <w:r>
              <w:t xml:space="preserve">0.9735939</w:t>
            </w:r>
          </w:p>
        </w:tc>
      </w:tr>
    </w:tbl>
    <w:p>
      <w:pPr>
        <w:pStyle w:val="BodyText"/>
      </w:pPr>
      <w:r>
        <w:t xml:space="preserve">The multiple linear regression model with all 5 predictors confirms that the</w:t>
      </w:r>
      <w:r>
        <w:t xml:space="preserve"> </w:t>
      </w:r>
      <w:r>
        <w:rPr>
          <w:rStyle w:val="VerbatimChar"/>
        </w:rPr>
        <w:t xml:space="preserve">sarc_standard</w:t>
      </w:r>
      <w:r>
        <w:t xml:space="preserve"> </w:t>
      </w:r>
      <w:r>
        <w:t xml:space="preserve">predictor has the strongest effect on the outcome, but the effect size has decreased slightly. The region variable is the second most impactful predictor, but there is a shift in which region has the strongest effect on the outcome. Africa still serves as the control region, but Europe has the largest effect size in this model followed by Latin America/the Caribbean. Oceania still has the weakest effect, and the effect is negative in this model compared to the positive effect seen in the simple linear regression model with the region predictor. The percent of currently married women, rate of maternal deaths due to uninteded pregnancies, and rate of maternal deaths due to abortion are very weak predictors with miniscule coefficients.</w:t>
      </w:r>
    </w:p>
    <w:bookmarkEnd w:id="50"/>
    <w:p>
      <w:pPr>
        <w:pStyle w:val="BodyText"/>
      </w:pPr>
      <w:r>
        <w:t xml:space="preserve">To determine which model performed the best, we started by examining the RMSE and MAE performance metrics. We found that the model with the standardized total count of women using the short acting reversible contraception method performed the best in a single predictor model compared to the percent of currently married women and the rate of maternal mortality due to abortion.</w:t>
      </w:r>
      <w:r>
        <w:t xml:space="preserve"> </w:t>
      </w:r>
      <w:hyperlink w:anchor="tbl-5">
        <w:r>
          <w:rPr>
            <w:rStyle w:val="Hyperlink"/>
          </w:rPr>
          <w:t xml:space="preserve">Table 2</w:t>
        </w:r>
      </w:hyperlink>
      <w:r>
        <w:t xml:space="preserve"> </w:t>
      </w:r>
      <w:r>
        <w:t xml:space="preserve">shows the RMSE and MAE values for each of these three models compared to the null model with no predictors. The model with the population size using SARCs is the only single predictor model that performs better than the null. The full model with all 5 predictors performs the best with the lowest RMSE and MAE values.</w:t>
      </w:r>
    </w:p>
    <w:tbl>
      <w:tblPr>
        <w:tblStyle w:val="Table"/>
        <w:tblW w:type="pct" w:w="5000"/>
        <w:tblLook w:firstRow="0" w:lastRow="0" w:firstColumn="0" w:lastColumn="0" w:noHBand="0" w:noVBand="0" w:val="0000"/>
        <w:jc w:val="start"/>
        <w:tblLayout w:type="fixed"/>
      </w:tblPr>
      <w:tblGrid>
        <w:gridCol w:w="7920"/>
      </w:tblGrid>
      <w:tr>
        <w:tc>
          <w:tcPr/>
          <w:bookmarkStart w:id="51" w:name="tbl-5"/>
          <w:p>
            <w:pPr>
              <w:jc w:val="center"/>
            </w:pPr>
            <w:pPr>
              <w:jc w:val="start"/>
              <w:spacing w:before="200"/>
              <w:pStyle w:val="ImageCaption"/>
            </w:pPr>
            <w:r>
              <w:t xml:space="preserve">Table 2</w:t>
            </w:r>
          </w:p>
          <w:p>
            <w:pPr>
              <w:pStyle w:val="SourceCode"/>
              <w:jc w:val="center"/>
            </w:pPr>
            <w:r>
              <w:rPr>
                <w:rStyle w:val="VerbatimChar"/>
              </w:rPr>
              <w:t xml:space="preserve">                                             RMSE       MAE</w:t>
            </w:r>
            <w:r>
              <w:br/>
            </w:r>
            <w:r>
              <w:rPr>
                <w:rStyle w:val="VerbatimChar"/>
              </w:rPr>
              <w:t xml:space="preserve">Population Size Using SARCs              5.143319  3.953767</w:t>
            </w:r>
            <w:r>
              <w:br/>
            </w:r>
            <w:r>
              <w:rPr>
                <w:rStyle w:val="VerbatimChar"/>
              </w:rPr>
              <w:t xml:space="preserve">Percent Currently Married               10.175909  8.107884</w:t>
            </w:r>
            <w:r>
              <w:br/>
            </w:r>
            <w:r>
              <w:rPr>
                <w:rStyle w:val="VerbatimChar"/>
              </w:rPr>
              <w:t xml:space="preserve">Rate of Maternal Deaths due to Abortion 10.141275  8.216870</w:t>
            </w:r>
            <w:r>
              <w:br/>
            </w:r>
            <w:r>
              <w:rPr>
                <w:rStyle w:val="VerbatimChar"/>
              </w:rPr>
              <w:t xml:space="preserve">Full Model with 5 Predictors             4.361363  3.386193</w:t>
            </w:r>
            <w:r>
              <w:br/>
            </w:r>
            <w:r>
              <w:rPr>
                <w:rStyle w:val="VerbatimChar"/>
              </w:rPr>
              <w:t xml:space="preserve">Null Model                              10.801787  8.216870</w:t>
            </w:r>
          </w:p>
          <w:bookmarkEnd w:id="51"/>
        </w:tc>
      </w:tr>
    </w:tbl>
    <w:p>
      <w:pPr>
        <w:pStyle w:val="FirstParagraph"/>
      </w:pPr>
      <w:r>
        <w:t xml:space="preserve">We used cross-validation of the two best models to determine how well the model performs on data it has not seen yet by splitting the data into testing and training pieces. The cross-validated results, shown in</w:t>
      </w:r>
      <w:r>
        <w:t xml:space="preserve"> </w:t>
      </w:r>
      <w:hyperlink w:anchor="tbl-6">
        <w:r>
          <w:rPr>
            <w:rStyle w:val="Hyperlink"/>
          </w:rPr>
          <w:t xml:space="preserve">Table 3</w:t>
        </w:r>
      </w:hyperlink>
      <w:r>
        <w:t xml:space="preserve"> </w:t>
      </w:r>
      <w:r>
        <w:t xml:space="preserve">lead to the same conclusion: the multiple linear regression model with 5 predictors performs better. The RMSE value for the single predictor model with</w:t>
      </w:r>
      <w:r>
        <w:t xml:space="preserve"> </w:t>
      </w:r>
      <w:r>
        <w:rPr>
          <w:rStyle w:val="VerbatimChar"/>
        </w:rPr>
        <w:t xml:space="preserve">sarc_standard</w:t>
      </w:r>
      <w:r>
        <w:t xml:space="preserve"> </w:t>
      </w:r>
      <w:r>
        <w:t xml:space="preserve">is 4.822226, which is lower the the first RMSE value of 5.143319. While the RMSE value for the multiple linear regression model is slightly higher than the first time it was calculated, it is still lower than the single predictor model. Additionally, the standard error of the RMSE for the multiple linear regression model is 0.2768, which is lower than the standard error of the RMSE for the single predictor model of 0.3528. This means there is higher variance in the single predictor model. The R-squared value of 0.8206 for the multiple linear regression model is higher than 0.7861 for the single predictor model, which means the multiple linear regression model accounts for more of the variability in the data. Overall, the multiple linear regression model performs better.</w:t>
      </w:r>
    </w:p>
    <w:tbl>
      <w:tblPr>
        <w:tblStyle w:val="Table"/>
        <w:tblW w:type="pct" w:w="5000"/>
        <w:tblLook w:firstRow="0" w:lastRow="0" w:firstColumn="0" w:lastColumn="0" w:noHBand="0" w:noVBand="0" w:val="0000"/>
        <w:jc w:val="start"/>
        <w:tblLayout w:type="fixed"/>
      </w:tblPr>
      <w:tblGrid>
        <w:gridCol w:w="7920"/>
      </w:tblGrid>
      <w:tr>
        <w:tc>
          <w:tcPr/>
          <w:bookmarkStart w:id="52" w:name="tbl-6"/>
          <w:p>
            <w:pPr>
              <w:jc w:val="center"/>
            </w:pPr>
            <w:pPr>
              <w:jc w:val="start"/>
              <w:spacing w:before="200"/>
              <w:pStyle w:val="ImageCaption"/>
            </w:pPr>
            <w:r>
              <w:t xml:space="preserve">Table 3</w:t>
            </w:r>
          </w:p>
          <w:p>
            <w:pPr>
              <w:pStyle w:val="SourceCode"/>
              <w:jc w:val="center"/>
            </w:pPr>
            <w:r>
              <w:rPr>
                <w:rStyle w:val="VerbatimChar"/>
              </w:rPr>
              <w:t xml:space="preserve">                             RMSE Standard Error  R-Squared Standard Error</w:t>
            </w:r>
            <w:r>
              <w:br/>
            </w:r>
            <w:r>
              <w:rPr>
                <w:rStyle w:val="VerbatimChar"/>
              </w:rPr>
              <w:t xml:space="preserve">Single Predictor Model 4.82222600     0.25279125 0.78606700     0.04292202</w:t>
            </w:r>
            <w:r>
              <w:br/>
            </w:r>
            <w:r>
              <w:rPr>
                <w:rStyle w:val="VerbatimChar"/>
              </w:rPr>
              <w:t xml:space="preserve">Full Predictor Model   4.40571600     0.27679502 0.82060000     0.02815933</w:t>
            </w:r>
          </w:p>
          <w:bookmarkEnd w:id="52"/>
        </w:tc>
      </w:tr>
    </w:tbl>
    <w:p>
      <w:pPr>
        <w:pStyle w:val="FirstParagraph"/>
      </w:pPr>
      <w:r>
        <w:t xml:space="preserve">Since we determined that the full model with all 5 predictors performs best, we graphed the predicted versus observed values using this model with both the testing and training data to further examine model performance. As seen in</w:t>
      </w:r>
      <w:r>
        <w:t xml:space="preserve"> </w:t>
      </w:r>
      <w:hyperlink w:anchor="fig-6">
        <w:r>
          <w:rPr>
            <w:rStyle w:val="Hyperlink"/>
          </w:rPr>
          <w:t xml:space="preserve">Figure 5</w:t>
        </w:r>
      </w:hyperlink>
      <w:r>
        <w:t xml:space="preserve">, the training model predictions, shown in teal, hover pretty closely around the expected relationship between the outcome and the 5 predictors, which is depicted as the 45 degree line. The testing model predictions, shown in coral, are much more extreme than the training model predictions because they are farther from the 45 degree line. While there is some overlap between the two sets of predictions, it is likely that our model is overfitting the data.</w:t>
      </w:r>
    </w:p>
    <w:tbl>
      <w:tblPr>
        <w:tblStyle w:val="Table"/>
        <w:tblW w:type="pct" w:w="5000"/>
        <w:tblLook w:firstRow="0" w:lastRow="0" w:firstColumn="0" w:lastColumn="0" w:noHBand="0" w:noVBand="0" w:val="0000"/>
        <w:jc w:val="start"/>
        <w:tblLayout w:type="fixed"/>
      </w:tblPr>
      <w:tblGrid>
        <w:gridCol w:w="7920"/>
      </w:tblGrid>
      <w:tr>
        <w:tc>
          <w:tcPr/>
          <w:bookmarkStart w:id="56" w:name="fig-6"/>
          <w:p>
            <w:pPr>
              <w:pStyle w:val="Compact"/>
              <w:jc w:val="center"/>
            </w:pPr>
            <w:r>
              <w:drawing>
                <wp:inline>
                  <wp:extent cx="5334000" cy="3295031"/>
                  <wp:effectExtent b="0" l="0" r="0" t="0"/>
                  <wp:docPr descr="" title="" id="54" name="Picture"/>
                  <a:graphic>
                    <a:graphicData uri="http://schemas.openxmlformats.org/drawingml/2006/picture">
                      <pic:pic>
                        <pic:nvPicPr>
                          <pic:cNvPr descr="../../results/figures/final-figures/fullmodelpred.png" id="55" name="Picture"/>
                          <pic:cNvPicPr>
                            <a:picLocks noChangeArrowheads="1" noChangeAspect="1"/>
                          </pic:cNvPicPr>
                        </pic:nvPicPr>
                        <pic:blipFill>
                          <a:blip r:embed="rId53"/>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Evaluating the final model performance on test data reveals that the model is strongly overfitting the data. The testing model predictions are shown in coral, and the variation in these observations is much higher compared to the training model predictions, shown in blue. Ideally, there would be complete overlap between the testing and training data predictions following the black dotted line that represent the ideal relationship between observed and predicted values. The majority of testing data predictions do not overlap with the training data prediction in this case, and the testing data predictions are father away from the preferred relationship shown by the black dotted line.</w:t>
            </w:r>
          </w:p>
          <w:bookmarkEnd w:id="56"/>
        </w:tc>
      </w:tr>
    </w:tbl>
    <w:p>
      <w:pPr>
        <w:pStyle w:val="BodyText"/>
      </w:pPr>
      <w:r>
        <w:t xml:space="preserve">We went one step further to examine the uncertainty in the full model predictions using the bootstrap method with 100 resamples of the training data. The figure shown in</w:t>
      </w:r>
      <w:r>
        <w:t xml:space="preserve"> </w:t>
      </w:r>
      <w:hyperlink w:anchor="fig-7">
        <w:r>
          <w:rPr>
            <w:rStyle w:val="Hyperlink"/>
          </w:rPr>
          <w:t xml:space="preserve">Figure 6</w:t>
        </w:r>
      </w:hyperlink>
      <w:r>
        <w:t xml:space="preserve"> </w:t>
      </w:r>
      <w:r>
        <w:t xml:space="preserve">displays the 95% confidence intervals, shown as dark blue lines, for the predictions made by the model. The confidence intervals are narrow, which shows there is minimal uncertainty in the model prediction. For the predictions that do not fall on the expected 45 degree line, the confidence intervals do not intersect with the line either. These findings increase the validity of the conclusion that the model is overfitting the data because there is not much uncertainty in the predictions.</w:t>
      </w:r>
    </w:p>
    <w:tbl>
      <w:tblPr>
        <w:tblStyle w:val="Table"/>
        <w:tblW w:type="pct" w:w="5000"/>
        <w:tblLook w:firstRow="0" w:lastRow="0" w:firstColumn="0" w:lastColumn="0" w:noHBand="0" w:noVBand="0" w:val="0000"/>
        <w:jc w:val="start"/>
        <w:tblLayout w:type="fixed"/>
      </w:tblPr>
      <w:tblGrid>
        <w:gridCol w:w="7920"/>
      </w:tblGrid>
      <w:tr>
        <w:tc>
          <w:tcPr/>
          <w:bookmarkStart w:id="60" w:name="fig-7"/>
          <w:p>
            <w:pPr>
              <w:pStyle w:val="Compact"/>
              <w:jc w:val="center"/>
            </w:pPr>
            <w:r>
              <w:drawing>
                <wp:inline>
                  <wp:extent cx="5334000" cy="5334000"/>
                  <wp:effectExtent b="0" l="0" r="0" t="0"/>
                  <wp:docPr descr="" title="" id="58" name="Picture"/>
                  <a:graphic>
                    <a:graphicData uri="http://schemas.openxmlformats.org/drawingml/2006/picture">
                      <pic:pic>
                        <pic:nvPicPr>
                          <pic:cNvPr descr="../../results/figures/final-figures/bootstrappred.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Evaluation of uncertainty in the full model predictions reveals decent overlap between the point estimates, shown in black triangles, and the median prediction observation, shown in coral circles. The error bars, shown in blue, represent 95% confidence intervals of the median estimates, and most of the confidence intervals contain the point estimates. This provides confidence in the certainty of the model’s predictions, but this is not very meaninful considering how the full model overfits the data.</w:t>
            </w:r>
          </w:p>
          <w:bookmarkEnd w:id="60"/>
        </w:tc>
      </w:tr>
    </w:tbl>
    <w:p>
      <w:pPr>
        <w:pStyle w:val="BodyText"/>
      </w:pPr>
      <w:r>
        <w:t xml:space="preserve">Since we have evidence that our model overfits the data, the last technique we want to use to explore our full model is Lasso regression. This technique could reveal predictors that should not be included in our final model, which could reduce the risk of overfitting. As seen in</w:t>
      </w:r>
      <w:r>
        <w:t xml:space="preserve"> </w:t>
      </w:r>
      <w:r>
        <w:rPr>
          <w:bCs/>
          <w:b/>
        </w:rPr>
        <w:t xml:space="preserve">?@tbl-7</w:t>
      </w:r>
      <w:r>
        <w:t xml:space="preserve">, the LASSO regression coefficients are much smaller than the first full model we created without the regularization penalty, but all 5 predictors remain in the model. The</w:t>
      </w:r>
      <w:r>
        <w:t xml:space="preserve"> </w:t>
      </w:r>
      <w:r>
        <w:rPr>
          <w:rStyle w:val="VerbatimChar"/>
        </w:rPr>
        <w:t xml:space="preserve">sarc_standard</w:t>
      </w:r>
      <w:r>
        <w:t xml:space="preserve"> </w:t>
      </w:r>
      <w:r>
        <w:t xml:space="preserve">predictor still has the strongest relationship with the outcome. The percent of women currently married, rate of maternal deaths due to unintended pregnancies, and rate of maternal deaths to due to abortion all have weak negative associations with the outcome. This process confirms that our final model should contain all 5 predictors.</w:t>
      </w:r>
    </w:p>
    <w:bookmarkStart w:id="61" w:name="tbl-7"/>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penalty</w:t>
            </w:r>
          </w:p>
        </w:tc>
      </w:tr>
      <w:tr>
        <w:tc>
          <w:tcPr/>
          <w:p>
            <w:pPr>
              <w:pStyle w:val="Compact"/>
              <w:jc w:val="left"/>
            </w:pPr>
            <w:r>
              <w:t xml:space="preserve">(Intercept)</w:t>
            </w:r>
          </w:p>
        </w:tc>
        <w:tc>
          <w:tcPr/>
          <w:p>
            <w:pPr>
              <w:pStyle w:val="Compact"/>
              <w:jc w:val="right"/>
            </w:pPr>
            <w:r>
              <w:t xml:space="preserve">-3.1304734</w:t>
            </w:r>
          </w:p>
        </w:tc>
        <w:tc>
          <w:tcPr/>
          <w:p>
            <w:pPr>
              <w:pStyle w:val="Compact"/>
              <w:jc w:val="right"/>
            </w:pPr>
            <w:r>
              <w:t xml:space="preserve">0.1</w:t>
            </w:r>
          </w:p>
        </w:tc>
      </w:tr>
      <w:tr>
        <w:tc>
          <w:tcPr/>
          <w:p>
            <w:pPr>
              <w:pStyle w:val="Compact"/>
              <w:jc w:val="left"/>
            </w:pPr>
            <w:r>
              <w:t xml:space="preserve">sarc_standard</w:t>
            </w:r>
          </w:p>
        </w:tc>
        <w:tc>
          <w:tcPr/>
          <w:p>
            <w:pPr>
              <w:pStyle w:val="Compact"/>
              <w:jc w:val="right"/>
            </w:pPr>
            <w:r>
              <w:t xml:space="preserve">82.8986381</w:t>
            </w:r>
          </w:p>
        </w:tc>
        <w:tc>
          <w:tcPr/>
          <w:p>
            <w:pPr>
              <w:pStyle w:val="Compact"/>
              <w:jc w:val="right"/>
            </w:pPr>
            <w:r>
              <w:t xml:space="preserve">0.1</w:t>
            </w:r>
          </w:p>
        </w:tc>
      </w:tr>
      <w:tr>
        <w:tc>
          <w:tcPr/>
          <w:p>
            <w:pPr>
              <w:pStyle w:val="Compact"/>
              <w:jc w:val="left"/>
            </w:pPr>
            <w:r>
              <w:t xml:space="preserve">regionAsia</w:t>
            </w:r>
          </w:p>
        </w:tc>
        <w:tc>
          <w:tcPr/>
          <w:p>
            <w:pPr>
              <w:pStyle w:val="Compact"/>
              <w:jc w:val="right"/>
            </w:pPr>
            <w:r>
              <w:t xml:space="preserve">4.1918631</w:t>
            </w:r>
          </w:p>
        </w:tc>
        <w:tc>
          <w:tcPr/>
          <w:p>
            <w:pPr>
              <w:pStyle w:val="Compact"/>
              <w:jc w:val="right"/>
            </w:pPr>
            <w:r>
              <w:t xml:space="preserve">0.1</w:t>
            </w:r>
          </w:p>
        </w:tc>
      </w:tr>
      <w:tr>
        <w:tc>
          <w:tcPr/>
          <w:p>
            <w:pPr>
              <w:pStyle w:val="Compact"/>
              <w:jc w:val="left"/>
            </w:pPr>
            <w:r>
              <w:t xml:space="preserve">regionEurope</w:t>
            </w:r>
          </w:p>
        </w:tc>
        <w:tc>
          <w:tcPr/>
          <w:p>
            <w:pPr>
              <w:pStyle w:val="Compact"/>
              <w:jc w:val="right"/>
            </w:pPr>
            <w:r>
              <w:t xml:space="preserve">6.2778825</w:t>
            </w:r>
          </w:p>
        </w:tc>
        <w:tc>
          <w:tcPr/>
          <w:p>
            <w:pPr>
              <w:pStyle w:val="Compact"/>
              <w:jc w:val="right"/>
            </w:pPr>
            <w:r>
              <w:t xml:space="preserve">0.1</w:t>
            </w:r>
          </w:p>
        </w:tc>
      </w:tr>
      <w:tr>
        <w:tc>
          <w:tcPr/>
          <w:p>
            <w:pPr>
              <w:pStyle w:val="Compact"/>
              <w:jc w:val="left"/>
            </w:pPr>
            <w:r>
              <w:t xml:space="preserve">regionLatin America &amp; the Caribbean</w:t>
            </w:r>
          </w:p>
        </w:tc>
        <w:tc>
          <w:tcPr/>
          <w:p>
            <w:pPr>
              <w:pStyle w:val="Compact"/>
              <w:jc w:val="right"/>
            </w:pPr>
            <w:r>
              <w:t xml:space="preserve">4.8745345</w:t>
            </w:r>
          </w:p>
        </w:tc>
        <w:tc>
          <w:tcPr/>
          <w:p>
            <w:pPr>
              <w:pStyle w:val="Compact"/>
              <w:jc w:val="right"/>
            </w:pPr>
            <w:r>
              <w:t xml:space="preserve">0.1</w:t>
            </w:r>
          </w:p>
        </w:tc>
      </w:tr>
      <w:tr>
        <w:tc>
          <w:tcPr/>
          <w:p>
            <w:pPr>
              <w:pStyle w:val="Compact"/>
              <w:jc w:val="left"/>
            </w:pPr>
            <w:r>
              <w:t xml:space="preserve">regionOceania</w:t>
            </w:r>
          </w:p>
        </w:tc>
        <w:tc>
          <w:tcPr/>
          <w:p>
            <w:pPr>
              <w:pStyle w:val="Compact"/>
              <w:jc w:val="right"/>
            </w:pPr>
            <w:r>
              <w:t xml:space="preserve">-0.0094941</w:t>
            </w:r>
          </w:p>
        </w:tc>
        <w:tc>
          <w:tcPr/>
          <w:p>
            <w:pPr>
              <w:pStyle w:val="Compact"/>
              <w:jc w:val="right"/>
            </w:pPr>
            <w:r>
              <w:t xml:space="preserve">0.1</w:t>
            </w:r>
          </w:p>
        </w:tc>
      </w:tr>
      <w:tr>
        <w:tc>
          <w:tcPr/>
          <w:p>
            <w:pPr>
              <w:pStyle w:val="Compact"/>
              <w:jc w:val="left"/>
            </w:pPr>
            <w:r>
              <w:t xml:space="preserve">pct_currentlymarried</w:t>
            </w:r>
          </w:p>
        </w:tc>
        <w:tc>
          <w:tcPr/>
          <w:p>
            <w:pPr>
              <w:pStyle w:val="Compact"/>
              <w:jc w:val="right"/>
            </w:pPr>
            <w:r>
              <w:t xml:space="preserve">-0.0000458</w:t>
            </w:r>
          </w:p>
        </w:tc>
        <w:tc>
          <w:tcPr/>
          <w:p>
            <w:pPr>
              <w:pStyle w:val="Compact"/>
              <w:jc w:val="right"/>
            </w:pPr>
            <w:r>
              <w:t xml:space="preserve">0.1</w:t>
            </w:r>
          </w:p>
        </w:tc>
      </w:tr>
      <w:tr>
        <w:tc>
          <w:tcPr/>
          <w:p>
            <w:pPr>
              <w:pStyle w:val="Compact"/>
              <w:jc w:val="left"/>
            </w:pPr>
            <w:r>
              <w:t xml:space="preserve">rate_matdeaths_upreg</w:t>
            </w:r>
          </w:p>
        </w:tc>
        <w:tc>
          <w:tcPr/>
          <w:p>
            <w:pPr>
              <w:pStyle w:val="Compact"/>
              <w:jc w:val="right"/>
            </w:pPr>
            <w:r>
              <w:t xml:space="preserve">-0.0001365</w:t>
            </w:r>
          </w:p>
        </w:tc>
        <w:tc>
          <w:tcPr/>
          <w:p>
            <w:pPr>
              <w:pStyle w:val="Compact"/>
              <w:jc w:val="right"/>
            </w:pPr>
            <w:r>
              <w:t xml:space="preserve">0.1</w:t>
            </w:r>
          </w:p>
        </w:tc>
      </w:tr>
      <w:tr>
        <w:tc>
          <w:tcPr/>
          <w:p>
            <w:pPr>
              <w:pStyle w:val="Compact"/>
              <w:jc w:val="left"/>
            </w:pPr>
            <w:r>
              <w:t xml:space="preserve">rate_matdeaths_abs</w:t>
            </w:r>
          </w:p>
        </w:tc>
        <w:tc>
          <w:tcPr/>
          <w:p>
            <w:pPr>
              <w:pStyle w:val="Compact"/>
              <w:jc w:val="right"/>
            </w:pPr>
            <w:r>
              <w:t xml:space="preserve">-0.0005969</w:t>
            </w:r>
          </w:p>
        </w:tc>
        <w:tc>
          <w:tcPr/>
          <w:p>
            <w:pPr>
              <w:pStyle w:val="Compact"/>
              <w:jc w:val="right"/>
            </w:pPr>
            <w:r>
              <w:t xml:space="preserve">0.1</w:t>
            </w:r>
          </w:p>
        </w:tc>
      </w:tr>
    </w:tbl>
    <w:p>
      <w:pPr>
        <w:pStyle w:val="BodyText"/>
      </w:pPr>
      <w:r>
        <w:t xml:space="preserve">LASSO regression results confirm the findings of the multiple linear regression model, but each of the coefficients has been shrunk as a result of the penalty parameter of 0.1. The</w:t>
      </w:r>
      <w:r>
        <w:t xml:space="preserve"> </w:t>
      </w:r>
      <w:r>
        <w:rPr>
          <w:rStyle w:val="VerbatimChar"/>
        </w:rPr>
        <w:t xml:space="preserve">sarc_standard</w:t>
      </w:r>
      <w:r>
        <w:t xml:space="preserve"> </w:t>
      </w:r>
      <w:r>
        <w:t xml:space="preserve">predictor is still the most strongly related to the outcome, followed by the European region. The LASSO penaltty decreased the effect size of the Oceania region even further, and the smallest coefficient is now assigned to the percent of currently married women, which is a shift from the multiple linear regression model. The rates of maternal mortality due to unintended pregnancy and abortion are very weak predictors in this model as well.</w:t>
      </w:r>
    </w:p>
    <w:bookmarkEnd w:id="61"/>
    <w:p>
      <w:pPr>
        <w:pStyle w:val="BodyText"/>
      </w:pPr>
      <w:r>
        <w:t xml:space="preserve">It is important to tune the hyperparameters associated with LASSO regression to determine the model that fits best, which is shown in</w:t>
      </w:r>
      <w:r>
        <w:t xml:space="preserve"> </w:t>
      </w:r>
      <w:hyperlink w:anchor="fig-8">
        <w:r>
          <w:rPr>
            <w:rStyle w:val="Hyperlink"/>
          </w:rPr>
          <w:t xml:space="preserve">Figure 7</w:t>
        </w:r>
      </w:hyperlink>
      <w:r>
        <w:t xml:space="preserve">. As the regularization penalty increases past 1, we see that the RMSE value increases exponentially. The lowest RMSE for the model is slightly greater than 5 when the regularization penalty is less than 1. When the regularization penalty increases to 10, the RMSE increases to almost 11. Since we originally chose 0.1 as our penalty parameter, we found one of the best performing models with the LASSO regression based on an RMSE value slightly greater than 5, which i comparable to the RMSE found in the first regression model with all 5 predictors.</w:t>
      </w:r>
    </w:p>
    <w:tbl>
      <w:tblPr>
        <w:tblStyle w:val="Table"/>
        <w:tblW w:type="pct" w:w="5000"/>
        <w:tblLook w:firstRow="0" w:lastRow="0" w:firstColumn="0" w:lastColumn="0" w:noHBand="0" w:noVBand="0" w:val="0000"/>
        <w:jc w:val="start"/>
        <w:tblLayout w:type="fixed"/>
      </w:tblPr>
      <w:tblGrid>
        <w:gridCol w:w="7920"/>
      </w:tblGrid>
      <w:tr>
        <w:tc>
          <w:tcPr/>
          <w:bookmarkStart w:id="65" w:name="fig-8"/>
          <w:p>
            <w:pPr>
              <w:pStyle w:val="Compact"/>
              <w:jc w:val="center"/>
            </w:pPr>
            <w:r>
              <w:drawing>
                <wp:inline>
                  <wp:extent cx="5334000" cy="3295031"/>
                  <wp:effectExtent b="0" l="0" r="0" t="0"/>
                  <wp:docPr descr="" title="" id="63" name="Picture"/>
                  <a:graphic>
                    <a:graphicData uri="http://schemas.openxmlformats.org/drawingml/2006/picture">
                      <pic:pic>
                        <pic:nvPicPr>
                          <pic:cNvPr descr="../../results/figures/final-figures/lassoparameters.png" id="64" name="Picture"/>
                          <pic:cNvPicPr>
                            <a:picLocks noChangeArrowheads="1" noChangeAspect="1"/>
                          </pic:cNvPicPr>
                        </pic:nvPicPr>
                        <pic:blipFill>
                          <a:blip r:embed="rId6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Parameter tuning for the LASSO regression reveals that the parameter should be smaller than 1 to ensure the lowest RMSE performance metric value. The RMSE value increases exponentially when the penalty parameter exceeds 1, so this provides confidence in our choice of using 0.1 as the penalty parameter in the prevoiusly displayed LASSO regression model. There is no evidence to use a smaller penalty parameter than 0.1 because it does not result in a lower performance metric.</w:t>
            </w:r>
          </w:p>
          <w:bookmarkEnd w:id="65"/>
        </w:tc>
      </w:tr>
    </w:tbl>
    <w:p>
      <w:pPr>
        <w:pStyle w:val="BodyText"/>
      </w:pPr>
      <w:r>
        <w:t xml:space="preserve">After creating the random forest model, we found that the RMSE and MAE values are exactly the same because the same 5 predictors are used for the outcome, but the R-squared value shows that the random forest model performs slightly better. Since a higher R-squared value represents smaller differences between the observed and predicted values, we can conclude that this model is predicting our outcome with slightly higher accuracy. The plot of the predicted versus observed values shown in</w:t>
      </w:r>
      <w:r>
        <w:t xml:space="preserve"> </w:t>
      </w:r>
      <w:hyperlink w:anchor="fig-9">
        <w:r>
          <w:rPr>
            <w:rStyle w:val="Hyperlink"/>
          </w:rPr>
          <w:t xml:space="preserve">Figure 8</w:t>
        </w:r>
      </w:hyperlink>
      <w:r>
        <w:t xml:space="preserve"> </w:t>
      </w:r>
      <w:r>
        <w:t xml:space="preserve">displays stronger correlation for predicted values compared to the testing and training done with cross-validation previously.</w:t>
      </w:r>
    </w:p>
    <w:tbl>
      <w:tblPr>
        <w:tblStyle w:val="Table"/>
        <w:tblW w:type="pct" w:w="5000"/>
        <w:tblLook w:firstRow="0" w:lastRow="0" w:firstColumn="0" w:lastColumn="0" w:noHBand="0" w:noVBand="0" w:val="0000"/>
        <w:jc w:val="start"/>
        <w:tblLayout w:type="fixed"/>
      </w:tblPr>
      <w:tblGrid>
        <w:gridCol w:w="7920"/>
      </w:tblGrid>
      <w:tr>
        <w:tc>
          <w:tcPr/>
          <w:bookmarkStart w:id="69" w:name="fig-9"/>
          <w:p>
            <w:pPr>
              <w:pStyle w:val="Compact"/>
              <w:jc w:val="center"/>
            </w:pPr>
            <w:r>
              <w:drawing>
                <wp:inline>
                  <wp:extent cx="5334000" cy="5334000"/>
                  <wp:effectExtent b="0" l="0" r="0" t="0"/>
                  <wp:docPr descr="" title="" id="67" name="Picture"/>
                  <a:graphic>
                    <a:graphicData uri="http://schemas.openxmlformats.org/drawingml/2006/picture">
                      <pic:pic>
                        <pic:nvPicPr>
                          <pic:cNvPr descr="../../results/figures/final-figures/randomforestpred.png" id="68"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graph of predicted versus observed values in the random forest model shows less deviation from the expected relationship visualized by the black dotted line in comparison to the multiple linear regression model displayed previously. While there are still several outliers as the predicted values increase past a value of 20, the observations hover around the expected relationship with conistency for values less than 10. While it is still likely that the random forest model is overfitting because it uses the same predictors, it appears that this model has higher predictive accuracy.</w:t>
            </w:r>
          </w:p>
          <w:bookmarkEnd w:id="69"/>
        </w:tc>
      </w:tr>
    </w:tbl>
    <w:p>
      <w:pPr>
        <w:pStyle w:val="BodyText"/>
      </w:pPr>
      <w:r>
        <w:t xml:space="preserve">Again, it is crucial to tune hyperparameters associate with machine learning models. Based on the red line displayed in</w:t>
      </w:r>
      <w:r>
        <w:t xml:space="preserve"> </w:t>
      </w:r>
      <w:hyperlink w:anchor="fig-10">
        <w:r>
          <w:rPr>
            <w:rStyle w:val="Hyperlink"/>
          </w:rPr>
          <w:t xml:space="preserve">Figure 9</w:t>
        </w:r>
      </w:hyperlink>
      <w:r>
        <w:t xml:space="preserve"> </w:t>
      </w:r>
      <w:r>
        <w:t xml:space="preserve">that shows the lowest possible RMSE score, our random forest model performs the best with a node size of 1 and 4 predictors. This begs the question of which one of the 5 predictors included in our model should be dropped to improve model performance because all previous performance metrics suggested that including all 5 predictors created the best model. However, there is a minimal increase in RMSE when all five predictors are included in the model, but the results suggest that a full model should have a node size of 4 to achieve the lowest RMSE.</w:t>
      </w:r>
    </w:p>
    <w:tbl>
      <w:tblPr>
        <w:tblStyle w:val="Table"/>
        <w:tblW w:type="pct" w:w="5000"/>
        <w:tblLook w:firstRow="0" w:lastRow="0" w:firstColumn="0" w:lastColumn="0" w:noHBand="0" w:noVBand="0" w:val="0000"/>
        <w:jc w:val="start"/>
        <w:tblLayout w:type="fixed"/>
      </w:tblPr>
      <w:tblGrid>
        <w:gridCol w:w="7920"/>
      </w:tblGrid>
      <w:tr>
        <w:tc>
          <w:tcPr/>
          <w:bookmarkStart w:id="73" w:name="fig-10"/>
          <w:p>
            <w:pPr>
              <w:pStyle w:val="Compact"/>
              <w:jc w:val="center"/>
            </w:pPr>
            <w:r>
              <w:drawing>
                <wp:inline>
                  <wp:extent cx="5334000" cy="5334000"/>
                  <wp:effectExtent b="0" l="0" r="0" t="0"/>
                  <wp:docPr descr="" title="" id="71" name="Picture"/>
                  <a:graphic>
                    <a:graphicData uri="http://schemas.openxmlformats.org/drawingml/2006/picture">
                      <pic:pic>
                        <pic:nvPicPr>
                          <pic:cNvPr descr="../../results/figures/final-figures/randomforesttune.png" id="72"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After tuning two parameters for the random forest model, it is clear that the best model based on the lowest RMSE performance metric value has a minimal node size of 1 for 4 out of the 5 models. This graph suggests that the final model should contain 4 predictors to achieve the best performance metric, but it does not provide information on which parameter should be dropped from the model. Interestingly, the best model with all 5 predictors has a minimal node size of 4.</w:t>
            </w:r>
          </w:p>
          <w:bookmarkEnd w:id="73"/>
        </w:tc>
      </w:tr>
    </w:tbl>
    <w:p>
      <w:pPr>
        <w:pStyle w:val="BodyText"/>
      </w:pPr>
      <w:r>
        <w:t xml:space="preserve">As seen in the statistical analysis file, we created 10 different model options with unique combinations of our 7 predictors. After considering effect sizes and performance metrics for each model, we have decided that the LASSO regression model with 5 predictors is the best overall choice for predicting our outcome of percentage of unintended pregnancies due to short acting reversible methods. After considering each of the 10 models we created throughout the statistical analysis process, the random forest model with 5 predictors is the best overall choice for predicting our outcome of percentage of unintended pregnancies due to short acting reversible methods. We used cross-validation with LASSO regression and random forest modeling to explore subset selection of our full model with all 5 predictors. The LASSO regression kept all 5 predictors, and the coefficients for the Asia, Europe, and Latin America/the Caribbean predictors were the largest behind the sarc_standard predictor. The smallest coefficient was assigned to the percent of currently married women predictor. We suggest using the full model with all 5 predictors with a LASSO regression because it accurately portrays the importance of each predictor while providing a penalty to predictors that do not meaningfully contribute to the model. While this model has a slightly lower R-squared value compared to the random forest model, the evidence of overfitting is so strong that this difference is negligible. Cross-validation of the model with all 5 predictors showed that predictions from testing data deviated from the expected relationship with larger variance than the predictions from the training data. Since the model did not perform well when used on test data, we conclude that there is overfitting in our model. Unfortunately, it is likely that any of these models are not optimal choices for predicting our outcome based on the poor performance of our model on testing data. While we suggest using the LASSO regression with all 5 predictors to predict our outcome because it is slightly easier to interpret, future researchers who are willing to sacrifice interpretation for predictive power should use the random forest model with 4 predictors based on the slightly higher predictive performance shown by the R-squared performance metric.</w:t>
      </w:r>
    </w:p>
    <w:p>
      <w:r>
        <w:br w:type="page"/>
      </w:r>
    </w:p>
    <w:bookmarkEnd w:id="74"/>
    <w:bookmarkEnd w:id="75"/>
    <w:bookmarkStart w:id="79" w:name="discussion"/>
    <w:p>
      <w:pPr>
        <w:pStyle w:val="Heading1"/>
      </w:pPr>
      <w:r>
        <w:t xml:space="preserve">5. Discussion</w:t>
      </w:r>
    </w:p>
    <w:bookmarkStart w:id="76" w:name="summary-and-interpretation"/>
    <w:p>
      <w:pPr>
        <w:pStyle w:val="Heading2"/>
      </w:pPr>
      <w:r>
        <w:t xml:space="preserve">5.1 Summary and Interpretation</w:t>
      </w:r>
    </w:p>
    <w:p>
      <w:pPr>
        <w:pStyle w:val="FirstParagraph"/>
      </w:pPr>
      <w:r>
        <w:t xml:space="preserve">Our exploratory data analysis allowed us to examine the distribution of our outcome of interest, percentage of unintended pregnancies due to short acting reversible contraception, and the predictors used to describe the outcome. Most low- and middle-income countries were from the African region, followed by Asia and Latin America/the Caribbean. The Latin America/the Caribbean region experienced the highest percentage of unintended pregnancies followed by Europe and Asia. This association is likely explained by the fact that women in these regions have better access to short acting reversible contraception methods because we would have expected the African region to experience the highest rate of our outcome based on the number of countries included from that region. After standardizing the number of women who use short acting reversible contraception based on total population size, it is clear the women in the Latin America/the Caribbean region use this contraception method at the highest rates, followed my the Asian region. Further analysis of the region predictor in a linear model with the outcome confirmed this finding by showing that Latin America/the Caribbean has the strongest association with the outcome, followed by Asia. Asia accounted for the highest percentage of currently married women. The highest rate of maternal mortality due to abortion and highest rate of maternal mortality due to unintended pregnancies are both accounted for by the African region. This cannot be explained by having the highest number of reproductive age women because the Asian region has 6 times the number of reproductive age women compared to the African region. This discrepancy is likely due to poorer access to maternal healthcare in Africa compared to Asia.</w:t>
      </w:r>
    </w:p>
    <w:p>
      <w:pPr>
        <w:pStyle w:val="BodyText"/>
      </w:pPr>
      <w:r>
        <w:t xml:space="preserve">Our full statistical analysis of the final model with 5 predictors included the standardized number of women using short acting reversible methods, region, percent of currently married women, rate of maternal mortality due to abortion, and rate of maternal mortality due to unintended pregnancies as predictors. Cross-validation using LASSO regression and random forest modeling techniques did not result in an increase in performance metrics, and the model is strongly overfitting the data based on the predicted versus observed outcomes between the testing and training data. Based on the model using LASSO regression, the number of women using short acting reversible contraception is the strongest predictor of the outcome, which is to be expected because women must be using this form of contraception to have an unintended pregnancy due to failure of this contraceptive method in the first place. The most influential factor in this model is the region variable with European, Asian, and Latin American regions having the strongest effects on the outcome. This finding implies that these three regions have the best access to SARCs because they also have the highest standardized population size using this form of contraception in the first place. Since the African region was always selected as the control for the model, it is likely that this region has the lowest access to SARCs. The percent of currently married women, rate of maternal mortality due to abortion, and rate of maternal mortality due to unintended pregnancies as predictors are all negatively associated with the outcome in this model. This implies that the percentage of unintended pregnancies decreases when a higher percentage of women are currently married and when the country experiences a higher maternal mortality rate based on abortion and unintended pregnancies. However, these effects are so small that it is likely these predictors do not have a real effect on the outcome. This analysis was successful in determining that region does have a significant effect on the percentage of unintended pregnancies due to short acting reversible methods with the Latin America/the Caribbean region experiencing the outcome at the highest rates.</w:t>
      </w:r>
    </w:p>
    <w:bookmarkEnd w:id="76"/>
    <w:bookmarkStart w:id="77"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r>
        <w:t xml:space="preserve"> </w:t>
      </w:r>
      <w:r>
        <w:t xml:space="preserve">There are several limitations for this analysis that must be addressed. First, this study relied on secondary data from the Guttmacher Institute’s Adding It Up project. We were limited by the data that was available to us because we were unable to collect our own data. The study was cross-sectional, which means that it only looked at data from one point in time. This makes it difficult to establish causal relationships between the variables based on lack of information about temporality. The largest limitation of the study is the evidence of overfitting for our final model. While we had solid evidence from performance metrics for choosing this model, it does a fairly poor job of representing the data based on the cross-validated testing and training data predictions. Our recommendation is to explore more variables from the Adding It Up project to determine if there are better predictors for this outcome. Since we chose our predictors based on the literature, it is unlikely that there are other predictors that will more accurately predict the percentage of unintended pregnancies due to SARCs. Further research into the other contraceptive methods studied in the Adding It Up project, such as long acting reversible contraception, sterilization, and traditional methods, could provide clarity on the patterns that we discovered in this analysis. Due to limited time and experience, we were not able to examine all 4 of these outcomes in this project.</w:t>
      </w:r>
    </w:p>
    <w:p>
      <w:pPr>
        <w:pStyle w:val="BodyText"/>
      </w:pPr>
      <w:r>
        <w:t xml:space="preserve">Despite these limitations, our study provides valuable insights into the factors influencing unintended pregnancy rates in low- and middle-income countries. We utilize cutting edge machine learning models to test 10 different model options, cross-validate 3 of the best performing models, and tune parameters for LASSO regression and random forest modeling of our final model. These robust techniques allowed for a thorough investigation of predictors and outcomes. Our findings suggest that a multifaceted approach is needed to address unintended pregnancy. This approach should include increasing access to SARC methods, improving education and counseling on contraception use, and addressing regional disparities in access to healthcare services and family planning programs.</w:t>
      </w:r>
    </w:p>
    <w:bookmarkEnd w:id="77"/>
    <w:bookmarkStart w:id="78" w:name="conclusions"/>
    <w:p>
      <w:pPr>
        <w:pStyle w:val="Heading2"/>
      </w:pPr>
      <w:r>
        <w:t xml:space="preserve">5.3 Conclusions</w:t>
      </w:r>
    </w:p>
    <w:p>
      <w:pPr>
        <w:pStyle w:val="FirstParagraph"/>
      </w:pPr>
      <w:r>
        <w:rPr>
          <w:iCs/>
          <w:i/>
        </w:rPr>
        <w:t xml:space="preserve">What are the main take-home messages?</w:t>
      </w:r>
      <w:r>
        <w:t xml:space="preserve"> </w:t>
      </w:r>
      <w:r>
        <w:t xml:space="preserve">This study investigated the association between unintended pregnancy rates and short-acting reversible contraception (SARC) use across low- and middle-income countries. The findings suggest that SARC use, regional variations, and marital status are all important factors influencing unintended pregnancy rates.</w:t>
      </w:r>
    </w:p>
    <w:p>
      <w:pPr>
        <w:pStyle w:val="BodyText"/>
      </w:pPr>
      <w:r>
        <w:t xml:space="preserve">The study found that SARC use was the strongest predictor of unintended pregnancy rates. This suggests that women who rely on SARC methods are more likely to experience unintended pregnancies compared to those who use other contraceptive methods. There are several possible explanations for this finding. First, SARC methods, such as pills and patches require more frequent user adherence than long-acting reversible contraceptives (LARCs) like implants. Perfect use of SARC methods is essential for their effectiveness, and even small lapses in use can increase the risk of unintended pregnancy. Second, SARC methods may not be as effective for women who have difficulty remembering to take their medication daily or who experience side effects from hormonal contraception.</w:t>
      </w:r>
    </w:p>
    <w:p>
      <w:pPr>
        <w:pStyle w:val="BodyText"/>
      </w:pPr>
      <w:r>
        <w:t xml:space="preserve">The study also found that regional variations were significantly associated with unintended pregnancy rates. The Latin America/Caribbean region displayed the strongest association with unintended pregnancy rates, followed by Asia. The Oceania and Europe region had weaker associations. These findings suggest that there are significant contextual factors that influence unintended pregnancy rates across different regions. These factors may include access to healthcare services, legal barriers to access, and cultural attitudes towards contraception. Additionally, regions with cultural or religious restrictions on contraception use may also have higher rates of unintended pregnancy.</w:t>
      </w:r>
    </w:p>
    <w:p>
      <w:pPr>
        <w:pStyle w:val="BodyText"/>
      </w:pPr>
      <w:r>
        <w:t xml:space="preserve">The study found that marital status was inversely associated with unintended pregnancy rates. We found that as the percent of women who are currently married increases, the unintended pregnancy rate decreases. There are some reasonable explanations for this finding. First, married women may have better access to healthcare services and family planning programs than unmarried women. Secondly, married couples may be more likely to plan their pregnancies than unmarried couples. Third, unmarried women may be more likely to have multiple sexual partners who could be opposed to using contraception.</w:t>
      </w:r>
    </w:p>
    <w:p>
      <w:pPr>
        <w:pStyle w:val="BodyText"/>
      </w:pPr>
      <w:r>
        <w:t xml:space="preserve">Future research directions could include conducting qualitative studies to better understand the reasons why women choose SARC methods and the challenges they face in using them effectively. Additionally, we suggest that a longitudinal study should be conducted to track changes in unintended pregnancy rates over time and to evaluate the effectiveness of different interventions aimed at reducing unintended pregnancy.</w:t>
      </w:r>
    </w:p>
    <w:p>
      <w:r>
        <w:br w:type="page"/>
      </w:r>
    </w:p>
    <w:bookmarkEnd w:id="78"/>
    <w:bookmarkEnd w:id="79"/>
    <w:bookmarkStart w:id="89" w:name="references"/>
    <w:p>
      <w:pPr>
        <w:pStyle w:val="Heading1"/>
      </w:pPr>
      <w:r>
        <w:t xml:space="preserve">6. References</w:t>
      </w:r>
    </w:p>
    <w:p>
      <w:pPr>
        <w:pStyle w:val="FirstParagraph"/>
      </w:pPr>
      <w:r>
        <w:rPr>
          <w:iCs/>
          <w:i/>
        </w:rPr>
        <w:t xml:space="preserve">Include citations in your Rmd file using bibtex, the list of references will automatically be placed at the end</w:t>
      </w:r>
    </w:p>
    <w:p>
      <w:pPr>
        <w:pStyle w:val="BodyText"/>
      </w:pPr>
      <w:r>
        <w:t xml:space="preserve">(Hevia, 2012)</w:t>
      </w:r>
      <w:r>
        <w:t xml:space="preserve">,</w:t>
      </w:r>
      <w:r>
        <w:t xml:space="preserve"> </w:t>
      </w:r>
      <w:r>
        <w:t xml:space="preserve">(Jonathan Marc Bearak et al., 2022)</w:t>
      </w:r>
      <w:r>
        <w:t xml:space="preserve">,</w:t>
      </w:r>
      <w:r>
        <w:t xml:space="preserve"> </w:t>
      </w:r>
      <w:r>
        <w:t xml:space="preserve">(Kavanaugh &amp; Jerman, 2018)</w:t>
      </w:r>
      <w:r>
        <w:t xml:space="preserve">,</w:t>
      </w:r>
      <w:r>
        <w:t xml:space="preserve"> </w:t>
      </w:r>
      <w:r>
        <w:t xml:space="preserve">(Rivet et al., 2021)</w:t>
      </w:r>
    </w:p>
    <w:bookmarkStart w:id="88" w:name="refs"/>
    <w:bookmarkStart w:id="81" w:name="ref-heviaLegalStatusEmergency2012"/>
    <w:p>
      <w:pPr>
        <w:pStyle w:val="Bibliography"/>
      </w:pPr>
      <w:r>
        <w:t xml:space="preserve">Hevia, M. (2012). The legal status of emergency contraception in</w:t>
      </w:r>
      <w:r>
        <w:t xml:space="preserve"> </w:t>
      </w:r>
      <w:r>
        <w:t xml:space="preserve">Latin America</w:t>
      </w:r>
      <w:r>
        <w:t xml:space="preserve">.</w:t>
      </w:r>
      <w:r>
        <w:t xml:space="preserve"> </w:t>
      </w:r>
      <w:r>
        <w:rPr>
          <w:iCs/>
          <w:i/>
        </w:rPr>
        <w:t xml:space="preserve">International Journal of Gynecology &amp; Obstetrics</w:t>
      </w:r>
      <w:r>
        <w:t xml:space="preserve">,</w:t>
      </w:r>
      <w:r>
        <w:t xml:space="preserve"> </w:t>
      </w:r>
      <w:r>
        <w:rPr>
          <w:iCs/>
          <w:i/>
        </w:rPr>
        <w:t xml:space="preserve">116</w:t>
      </w:r>
      <w:r>
        <w:t xml:space="preserve">(1), 87–90.</w:t>
      </w:r>
      <w:r>
        <w:t xml:space="preserve"> </w:t>
      </w:r>
      <w:hyperlink r:id="rId80">
        <w:r>
          <w:rPr>
            <w:rStyle w:val="Hyperlink"/>
          </w:rPr>
          <w:t xml:space="preserve">https://doi.org/10.1016/j.ijgo.2011.10.008</w:t>
        </w:r>
      </w:hyperlink>
    </w:p>
    <w:bookmarkEnd w:id="81"/>
    <w:bookmarkStart w:id="83" w:name="Xa1dc316661fa8866d8f825e78067ac7b202b710"/>
    <w:p>
      <w:pPr>
        <w:pStyle w:val="Bibliography"/>
      </w:pPr>
      <w:r>
        <w:t xml:space="preserve">Jonathan Marc Bearak, Anna Popinchalk, Cynthia Beavin, Bela Ganatra, Ann-Beth Moller, Özge Tunçalp, &amp; Leontine Alkema. (2022). Country-specific estimates of unintended pregnancy and abortion incidence: A global comparative analysis of levels in 2015–2019.</w:t>
      </w:r>
      <w:r>
        <w:t xml:space="preserve"> </w:t>
      </w:r>
      <w:r>
        <w:rPr>
          <w:iCs/>
          <w:i/>
        </w:rPr>
        <w:t xml:space="preserve">BMJ Global Health</w:t>
      </w:r>
      <w:r>
        <w:t xml:space="preserve">,</w:t>
      </w:r>
      <w:r>
        <w:t xml:space="preserve"> </w:t>
      </w:r>
      <w:r>
        <w:rPr>
          <w:iCs/>
          <w:i/>
        </w:rPr>
        <w:t xml:space="preserve">7</w:t>
      </w:r>
      <w:r>
        <w:t xml:space="preserve">(3), e007151.</w:t>
      </w:r>
      <w:r>
        <w:t xml:space="preserve"> </w:t>
      </w:r>
      <w:hyperlink r:id="rId82">
        <w:r>
          <w:rPr>
            <w:rStyle w:val="Hyperlink"/>
          </w:rPr>
          <w:t xml:space="preserve">https://doi.org/10.1136/bmjgh-2021-007151</w:t>
        </w:r>
      </w:hyperlink>
    </w:p>
    <w:bookmarkEnd w:id="83"/>
    <w:bookmarkStart w:id="85" w:name="ref-kavanaughContraceptiveMethodUse2018"/>
    <w:p>
      <w:pPr>
        <w:pStyle w:val="Bibliography"/>
      </w:pPr>
      <w:r>
        <w:t xml:space="preserve">Kavanaugh, M. L., &amp; Jerman, J. (2018). Contraceptive method use in the</w:t>
      </w:r>
      <w:r>
        <w:t xml:space="preserve"> </w:t>
      </w:r>
      <w:r>
        <w:t xml:space="preserve">United States</w:t>
      </w:r>
      <w:r>
        <w:t xml:space="preserve">: Trends and characteristics between 2008, 2012 and 2014.</w:t>
      </w:r>
      <w:r>
        <w:t xml:space="preserve"> </w:t>
      </w:r>
      <w:r>
        <w:rPr>
          <w:iCs/>
          <w:i/>
        </w:rPr>
        <w:t xml:space="preserve">Contraception</w:t>
      </w:r>
      <w:r>
        <w:t xml:space="preserve">,</w:t>
      </w:r>
      <w:r>
        <w:t xml:space="preserve"> </w:t>
      </w:r>
      <w:r>
        <w:rPr>
          <w:iCs/>
          <w:i/>
        </w:rPr>
        <w:t xml:space="preserve">97</w:t>
      </w:r>
      <w:r>
        <w:t xml:space="preserve">(1), 14–21.</w:t>
      </w:r>
      <w:r>
        <w:t xml:space="preserve"> </w:t>
      </w:r>
      <w:hyperlink r:id="rId84">
        <w:r>
          <w:rPr>
            <w:rStyle w:val="Hyperlink"/>
          </w:rPr>
          <w:t xml:space="preserve">https://doi.org/10.1016/j.contraception.2017.10.003</w:t>
        </w:r>
      </w:hyperlink>
    </w:p>
    <w:bookmarkEnd w:id="85"/>
    <w:bookmarkStart w:id="87" w:name="ref-rivetContraceptionUseAttitudes2021"/>
    <w:p>
      <w:pPr>
        <w:pStyle w:val="Bibliography"/>
      </w:pPr>
      <w:r>
        <w:t xml:space="preserve">Rivet, D., Robinson, H., Sydora, B. C., &amp; Ross, S. (2021). Contraception</w:t>
      </w:r>
      <w:r>
        <w:t xml:space="preserve"> </w:t>
      </w:r>
      <w:r>
        <w:t xml:space="preserve">Use</w:t>
      </w:r>
      <w:r>
        <w:t xml:space="preserve"> </w:t>
      </w:r>
      <w:r>
        <w:t xml:space="preserve">and</w:t>
      </w:r>
      <w:r>
        <w:t xml:space="preserve"> </w:t>
      </w:r>
      <w:r>
        <w:t xml:space="preserve">Attitudes Among Women Seeking Pregnancy Termination</w:t>
      </w:r>
      <w:r>
        <w:t xml:space="preserve">:</w:t>
      </w:r>
      <w:r>
        <w:t xml:space="preserve"> </w:t>
      </w:r>
      <w:r>
        <w:t xml:space="preserve">Descriptive Cross-Sectional Survey</w:t>
      </w:r>
      <w:r>
        <w:t xml:space="preserve">.</w:t>
      </w:r>
      <w:r>
        <w:t xml:space="preserve"> </w:t>
      </w:r>
      <w:r>
        <w:rPr>
          <w:iCs/>
          <w:i/>
        </w:rPr>
        <w:t xml:space="preserve">Journal of Obstetrics and Gynaecology Canada</w:t>
      </w:r>
      <w:r>
        <w:t xml:space="preserve">,</w:t>
      </w:r>
      <w:r>
        <w:t xml:space="preserve"> </w:t>
      </w:r>
      <w:r>
        <w:rPr>
          <w:iCs/>
          <w:i/>
        </w:rPr>
        <w:t xml:space="preserve">43</w:t>
      </w:r>
      <w:r>
        <w:t xml:space="preserve">(2), 197–203.e2.</w:t>
      </w:r>
      <w:r>
        <w:t xml:space="preserve"> </w:t>
      </w:r>
      <w:hyperlink r:id="rId86">
        <w:r>
          <w:rPr>
            <w:rStyle w:val="Hyperlink"/>
          </w:rPr>
          <w:t xml:space="preserve">https://doi.org/10.1016/j.jogc.2020.06.023</w:t>
        </w:r>
      </w:hyperlink>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2024-04-19T20:16:18Z</dcterms:created>
  <dcterms:modified xsi:type="dcterms:W3CDTF">2024-04-19T20:16:18Z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2024-04-19</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