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0.png" ContentType="image/png"/>
  <Override PartName="/word/media/rId56.png" ContentType="image/png"/>
  <Override PartName="/word/media/rId53.png" ContentType="image/png"/>
  <Override PartName="/word/media/rId47.png" ContentType="image/png"/>
  <Override PartName="/word/media/rId29.png" ContentType="image/png"/>
  <Override PartName="/word/media/rId35.png" ContentType="image/png"/>
  <Override PartName="/word/media/rId32.png" ContentType="image/png"/>
  <Override PartName="/word/media/rId41.png" ContentType="image/png"/>
  <Override PartName="/word/media/rId38.png" ContentType="image/png"/>
  <Override PartName="/word/media/rId64.png" ContentType="image/png"/>
  <Override PartName="/word/media/rId61.png" ContentType="image/png"/>
  <Override PartName="/word/media/rId67.png" ContentType="image/png"/>
  <Override PartName="/word/media/rId70.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2024-04-16</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preganacy rate decreases. Maternal mortality rates showed a positive correlation with the outcoe.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SARC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 Lastly, we examined the AIC scores for the two best performing models since there is strong evidence for overfitting. Even though cross-validation is a better approach for answering the question of how well a model predicted values in unseen data because it actually resamples the data, the concern of overfitting justifies finding the AIC value in this case. This measure still evaluates the trade-off between good fit to the data, shown by a low cost function, and model complexity based on the number of parameters.</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betwen each variable and the outcome. We explored the region variable further because our main goal is to understand the difference in outcome by region. We used ANOVA to determine the difference between regions, and we added Tukey’s Honeslty Significant Difference test to examine pairwise associations.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7" w:name="results"/>
    <w:p>
      <w:pPr>
        <w:pStyle w:val="Heading1"/>
      </w:pPr>
      <w:r>
        <w:t xml:space="preserve">4. Results</w:t>
      </w:r>
    </w:p>
    <w:bookmarkStart w:id="59"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w:t>
      </w:r>
      <w:r>
        <w:t xml:space="preserve"> </w:t>
      </w:r>
      <w:r>
        <w:t xml:space="preserve">(</w:t>
      </w:r>
      <w:r>
        <w:rPr>
          <w:bCs/>
          <w:b/>
        </w:rPr>
        <w:t xml:space="preserve">table1?</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38"/>
        <w:gridCol w:w="1811"/>
        <w:gridCol w:w="1695"/>
        <w:gridCol w:w="1945"/>
        <w:gridCol w:w="439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 &amp; 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06"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pct_upreg_sarc</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pct_currentlymarried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pct_nevermarried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59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rate_matdeaths_upreg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9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rate_matdeaths_abs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p>
      <w:pPr>
        <w:pStyle w:val="BodyText"/>
      </w:pPr>
      <w:r>
        <w:t xml:space="preserve">We created a multitude of exploratory plots to understand our data better. The first exploratory result shown in</w:t>
      </w:r>
      <w:r>
        <w:t xml:space="preserve"> </w:t>
      </w:r>
      <w:r>
        <w:t xml:space="preserve">(</w:t>
      </w:r>
      <w:r>
        <w:rPr>
          <w:bCs/>
          <w:b/>
        </w:rPr>
        <w:t xml:space="preserve">figure1?</w:t>
      </w:r>
      <w:r>
        <w:t xml:space="preserve">)</w:t>
      </w:r>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p>
      <w:pPr>
        <w:pStyle w:val="CaptionedFigure"/>
      </w:pPr>
      <w:r>
        <w:drawing>
          <wp:inline>
            <wp:extent cx="5334000" cy="3295031"/>
            <wp:effectExtent b="0" l="0" r="0" t="0"/>
            <wp:docPr descr="Plot 1: Histogram Depicting Number of Countries With Percent Unintended Pregnancy Using SARC" title="" id="30" name="Picture"/>
            <a:graphic>
              <a:graphicData uri="http://schemas.openxmlformats.org/drawingml/2006/picture">
                <pic:pic>
                  <pic:nvPicPr>
                    <pic:cNvPr descr="../../results/figures/exploratory-figures/pctupreg_sarc_distribution.png" id="31" name="Picture"/>
                    <pic:cNvPicPr>
                      <a:picLocks noChangeArrowheads="1" noChangeAspect="1"/>
                    </pic:cNvPicPr>
                  </pic:nvPicPr>
                  <pic:blipFill>
                    <a:blip r:embed="rId2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Plot 1: Histogram Depicting Number of Countries With Percent Unintended Pregnancy Using SARC</w:t>
      </w:r>
    </w:p>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r>
        <w:t xml:space="preserve">(</w:t>
      </w:r>
      <w:r>
        <w:rPr>
          <w:bCs/>
          <w:b/>
        </w:rPr>
        <w:t xml:space="preserve">figure2?</w:t>
      </w:r>
      <w:r>
        <w:t xml:space="preserve">)</w:t>
      </w:r>
      <w:r>
        <w:t xml:space="preserve">.</w:t>
      </w:r>
    </w:p>
    <w:p>
      <w:pPr>
        <w:pStyle w:val="CaptionedFigure"/>
      </w:pPr>
      <w:r>
        <w:drawing>
          <wp:inline>
            <wp:extent cx="5334000" cy="3295031"/>
            <wp:effectExtent b="0" l="0" r="0" t="0"/>
            <wp:docPr descr="Figure 1: Graph Depciting Percent Unintended Pregnancy by Standarized Count of Total Women" title="" id="33" name="Picture"/>
            <a:graphic>
              <a:graphicData uri="http://schemas.openxmlformats.org/drawingml/2006/picture">
                <pic:pic>
                  <pic:nvPicPr>
                    <pic:cNvPr descr="../../results/figures/exploratory-figures/pctupreg_totalsarc.png" id="34" name="Picture"/>
                    <pic:cNvPicPr>
                      <a:picLocks noChangeArrowheads="1" noChangeAspect="1"/>
                    </pic:cNvPicPr>
                  </pic:nvPicPr>
                  <pic:blipFill>
                    <a:blip r:embed="rId3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 Graph Depciting Percent Unintended Pregnancy by Standarized Count of Total Women</w:t>
      </w:r>
    </w:p>
    <w:p>
      <w:pPr>
        <w:pStyle w:val="BodyText"/>
      </w:pPr>
      <w:r>
        <w:t xml:space="preserve">We stratified these four graphs by region to examine how the relationship differs across each of the regions which is shown in</w:t>
      </w:r>
      <w:r>
        <w:t xml:space="preserve"> </w:t>
      </w:r>
      <w:r>
        <w:t xml:space="preserve">(</w:t>
      </w:r>
      <w:r>
        <w:rPr>
          <w:bCs/>
          <w:b/>
        </w:rPr>
        <w:t xml:space="preserve">figure3?</w:t>
      </w:r>
      <w:r>
        <w:t xml:space="preserve">)</w:t>
      </w:r>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p>
      <w:pPr>
        <w:pStyle w:val="CaptionedFigure"/>
      </w:pPr>
      <w:r>
        <w:drawing>
          <wp:inline>
            <wp:extent cx="5334000" cy="3295031"/>
            <wp:effectExtent b="0" l="0" r="0" t="0"/>
            <wp:docPr descr="Figure 2: Graph Depicting Percent Unintended Pregnancies Using SARC by region" title="" id="36" name="Picture"/>
            <a:graphic>
              <a:graphicData uri="http://schemas.openxmlformats.org/drawingml/2006/picture">
                <pic:pic>
                  <pic:nvPicPr>
                    <pic:cNvPr descr="../../results/figures/exploratory-figures/pctupreg_sarc_stratified.png" id="37" name="Picture"/>
                    <pic:cNvPicPr>
                      <a:picLocks noChangeArrowheads="1" noChangeAspect="1"/>
                    </pic:cNvPicPr>
                  </pic:nvPicPr>
                  <pic:blipFill>
                    <a:blip r:embed="rId3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2: Graph Depicting Percent Unintended Pregnancies Using SARC by region</w:t>
      </w:r>
    </w:p>
    <w:p>
      <w:pPr>
        <w:pStyle w:val="BodyText"/>
      </w:pPr>
      <w:r>
        <w:t xml:space="preserve">We also created violin plots using the categorical usage variables for each birth control method as shown in</w:t>
      </w:r>
      <w:r>
        <w:t xml:space="preserve"> </w:t>
      </w:r>
      <w:r>
        <w:t xml:space="preserve">(</w:t>
      </w:r>
      <w:r>
        <w:rPr>
          <w:bCs/>
          <w:b/>
        </w:rPr>
        <w:t xml:space="preserve">figure4?</w:t>
      </w:r>
      <w:r>
        <w:t xml:space="preserve">)</w:t>
      </w:r>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p>
      <w:pPr>
        <w:pStyle w:val="CaptionedFigure"/>
      </w:pPr>
      <w:r>
        <w:drawing>
          <wp:inline>
            <wp:extent cx="5334000" cy="3295031"/>
            <wp:effectExtent b="0" l="0" r="0" t="0"/>
            <wp:docPr descr="Plot 5: Violin Plot Depicitng Usage of SARc Per Region" title="" id="39" name="Picture"/>
            <a:graphic>
              <a:graphicData uri="http://schemas.openxmlformats.org/drawingml/2006/picture">
                <pic:pic>
                  <pic:nvPicPr>
                    <pic:cNvPr descr="../../results/figures/exploratory-figures/sarc_pctupreg_violin.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Plot 5: Violin Plot Depicitng Usage of SARc Per Region</w:t>
      </w:r>
    </w:p>
    <w:p>
      <w:pPr>
        <w:pStyle w:val="BodyText"/>
      </w:pPr>
      <w:r>
        <w:t xml:space="preserve">Lastly, we explored the predictor variables that will be used in our models, and the graphs are shown in</w:t>
      </w:r>
      <w:r>
        <w:t xml:space="preserve"> </w:t>
      </w:r>
      <w:r>
        <w:t xml:space="preserve">(</w:t>
      </w:r>
      <w:r>
        <w:rPr>
          <w:bCs/>
          <w:b/>
        </w:rPr>
        <w:t xml:space="preserve">figure5?</w:t>
      </w:r>
      <w:r>
        <w:t xml:space="preserve">)</w:t>
      </w:r>
      <w:r>
        <w:t xml:space="preserve"> </w:t>
      </w:r>
      <w:r>
        <w:t xml:space="preserve">-</w:t>
      </w:r>
      <w:r>
        <w:t xml:space="preserve"> </w:t>
      </w:r>
      <w:r>
        <w:t xml:space="preserve">(</w:t>
      </w:r>
      <w:r>
        <w:rPr>
          <w:bCs/>
          <w:b/>
        </w:rPr>
        <w:t xml:space="preserve">figure10?</w:t>
      </w:r>
      <w:r>
        <w:t xml:space="preserve">)</w:t>
      </w:r>
      <w:r>
        <w:t xml:space="preserve">.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w:t>
      </w:r>
    </w:p>
    <w:p>
      <w:pPr>
        <w:pStyle w:val="CaptionedFigure"/>
      </w:pPr>
      <w:r>
        <w:drawing>
          <wp:inline>
            <wp:extent cx="5334000" cy="3295031"/>
            <wp:effectExtent b="0" l="0" r="0" t="0"/>
            <wp:docPr descr="Predictor Variable Distributions" title="" id="42" name="Picture"/>
            <a:graphic>
              <a:graphicData uri="http://schemas.openxmlformats.org/drawingml/2006/picture">
                <pic:pic>
                  <pic:nvPicPr>
                    <pic:cNvPr descr="../../results/figures/exploratory-figures/region_distribution.png" id="43"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45" name="Picture"/>
            <a:graphic>
              <a:graphicData uri="http://schemas.openxmlformats.org/drawingml/2006/picture">
                <pic:pic>
                  <pic:nvPicPr>
                    <pic:cNvPr descr="../../results/figures/exploratory-figures/currmarried_distribution.png" id="46" name="Picture"/>
                    <pic:cNvPicPr>
                      <a:picLocks noChangeArrowheads="1" noChangeAspect="1"/>
                    </pic:cNvPicPr>
                  </pic:nvPicPr>
                  <pic:blipFill>
                    <a:blip r:embed="rId4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48" name="Picture"/>
            <a:graphic>
              <a:graphicData uri="http://schemas.openxmlformats.org/drawingml/2006/picture">
                <pic:pic>
                  <pic:nvPicPr>
                    <pic:cNvPr descr="../../results/figures/exploratory-figures/nevmarried_distribution.png" id="49" name="Picture"/>
                    <pic:cNvPicPr>
                      <a:picLocks noChangeArrowheads="1" noChangeAspect="1"/>
                    </pic:cNvPicPr>
                  </pic:nvPicPr>
                  <pic:blipFill>
                    <a:blip r:embed="rId4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1" name="Picture"/>
            <a:graphic>
              <a:graphicData uri="http://schemas.openxmlformats.org/drawingml/2006/picture">
                <pic:pic>
                  <pic:nvPicPr>
                    <pic:cNvPr descr="../../results/figures/exploratory-figures/matdeaths_distribution.png" id="52" name="Picture"/>
                    <pic:cNvPicPr>
                      <a:picLocks noChangeArrowheads="1" noChangeAspect="1"/>
                    </pic:cNvPicPr>
                  </pic:nvPicPr>
                  <pic:blipFill>
                    <a:blip r:embed="rId5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4" name="Picture"/>
            <a:graphic>
              <a:graphicData uri="http://schemas.openxmlformats.org/drawingml/2006/picture">
                <pic:pic>
                  <pic:nvPicPr>
                    <pic:cNvPr descr="../../results/figures/exploratory-figures/matdeathsupreg_distribution.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7" name="Picture"/>
            <a:graphic>
              <a:graphicData uri="http://schemas.openxmlformats.org/drawingml/2006/picture">
                <pic:pic>
                  <pic:nvPicPr>
                    <pic:cNvPr descr="../../results/figures/exploratory-figures/matdeathsabs_distribution.png" id="58" name="Picture"/>
                    <pic:cNvPicPr>
                      <a:picLocks noChangeArrowheads="1" noChangeAspect="1"/>
                    </pic:cNvPicPr>
                  </pic:nvPicPr>
                  <pic:blipFill>
                    <a:blip r:embed="rId5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bookmarkEnd w:id="59"/>
    <w:bookmarkStart w:id="60"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r>
        <w:t xml:space="preserve">(</w:t>
      </w:r>
      <w:r>
        <w:rPr>
          <w:bCs/>
          <w:b/>
        </w:rPr>
        <w:t xml:space="preserve">table2?</w:t>
      </w:r>
      <w:r>
        <w:t xml:space="preserve">)</w:t>
      </w:r>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-1.70     0.947     -1.80 7.42e- 2</w:t>
      </w:r>
      <w:r>
        <w:br/>
      </w:r>
      <w:r>
        <w:rPr>
          <w:rStyle w:val="VerbatimChar"/>
        </w:rPr>
        <w:t xml:space="preserve">2 sarc_standard    87.7      4.16      21.1  1.01e-43</w:t>
      </w:r>
    </w:p>
    <w:p>
      <w:pPr>
        <w:pStyle w:val="FirstParagraph"/>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t xml:space="preserve">(</w:t>
      </w:r>
      <w:r>
        <w:rPr>
          <w:bCs/>
          <w:b/>
        </w:rPr>
        <w:t xml:space="preserve">table3?</w:t>
      </w:r>
      <w:r>
        <w:t xml:space="preserve">)</w:t>
      </w:r>
      <w:r>
        <w:t xml:space="preserve">.</w:t>
      </w:r>
    </w:p>
    <w:p>
      <w:pPr>
        <w:pStyle w:val="SourceCode"/>
      </w:pPr>
      <w:r>
        <w:rPr>
          <w:rStyle w:val="VerbatimChar"/>
        </w:rPr>
        <w:t xml:space="preserve"># A tibble: 5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0.418     0.159     2.63  0.00960     </w:t>
      </w:r>
      <w:r>
        <w:br/>
      </w:r>
      <w:r>
        <w:rPr>
          <w:rStyle w:val="VerbatimChar"/>
        </w:rPr>
        <w:t xml:space="preserve">2 regionAsia                             1.47      0.250     5.87  0.0000000350</w:t>
      </w:r>
      <w:r>
        <w:br/>
      </w:r>
      <w:r>
        <w:rPr>
          <w:rStyle w:val="VerbatimChar"/>
        </w:rPr>
        <w:t xml:space="preserve">3 regionEurope                           0.330     0.384     0.860 0.392       </w:t>
      </w:r>
      <w:r>
        <w:br/>
      </w:r>
      <w:r>
        <w:rPr>
          <w:rStyle w:val="VerbatimChar"/>
        </w:rPr>
        <w:t xml:space="preserve">4 regionLatin America &amp; the Caribbean    1.62      0.285     5.69  0.0000000827</w:t>
      </w:r>
      <w:r>
        <w:br/>
      </w:r>
      <w:r>
        <w:rPr>
          <w:rStyle w:val="VerbatimChar"/>
        </w:rPr>
        <w:t xml:space="preserve">5 regionOceania                          0.251     0.439     0.572 0.568       </w:t>
      </w:r>
    </w:p>
    <w:p>
      <w:pPr>
        <w:pStyle w:val="FirstParagraph"/>
      </w:pPr>
      <w:r>
        <w:t xml:space="preserve">Details about the 9 different models we created can be found in the statistical-analysis.qmd file in the code &gt; analysis-code folder along with an exploration of the correlation between predictors.</w:t>
      </w:r>
    </w:p>
    <w:bookmarkEnd w:id="60"/>
    <w:bookmarkStart w:id="76"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t xml:space="preserve">(</w:t>
      </w:r>
      <w:r>
        <w:rPr>
          <w:bCs/>
          <w:b/>
        </w:rPr>
        <w:t xml:space="preserve">table4?</w:t>
      </w:r>
      <w:r>
        <w:t xml:space="preserve">)</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p>
      <w:pPr>
        <w:pStyle w:val="SourceCode"/>
      </w:pPr>
      <w:r>
        <w:rPr>
          <w:rStyle w:val="VerbatimChar"/>
        </w:rPr>
        <w:t xml:space="preserve"># A tibble: 9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-2.66      3.60       -0.740  4.60e- 1</w:t>
      </w:r>
      <w:r>
        <w:br/>
      </w:r>
      <w:r>
        <w:rPr>
          <w:rStyle w:val="VerbatimChar"/>
        </w:rPr>
        <w:t xml:space="preserve">2 sarc_standard                       83.5       4.34       19.2    7.58e-39</w:t>
      </w:r>
      <w:r>
        <w:br/>
      </w:r>
      <w:r>
        <w:rPr>
          <w:rStyle w:val="VerbatimChar"/>
        </w:rPr>
        <w:t xml:space="preserve">3 regionAsia                           4.80      1.30        3.69   3.30e- 4</w:t>
      </w:r>
      <w:r>
        <w:br/>
      </w:r>
      <w:r>
        <w:rPr>
          <w:rStyle w:val="VerbatimChar"/>
        </w:rPr>
        <w:t xml:space="preserve">4 regionEurope                         6.94      1.68        4.12   6.77e- 5</w:t>
      </w:r>
      <w:r>
        <w:br/>
      </w:r>
      <w:r>
        <w:rPr>
          <w:rStyle w:val="VerbatimChar"/>
        </w:rPr>
        <w:t xml:space="preserve">5 regionLatin America &amp; the Caribbean  5.29      1.29        4.10   7.51e- 5</w:t>
      </w:r>
      <w:r>
        <w:br/>
      </w:r>
      <w:r>
        <w:rPr>
          <w:rStyle w:val="VerbatimChar"/>
        </w:rPr>
        <w:t xml:space="preserve">6 regionOceania                       -0.0328    1.91       -0.0172 9.86e- 1</w:t>
      </w:r>
      <w:r>
        <w:br/>
      </w:r>
      <w:r>
        <w:rPr>
          <w:rStyle w:val="VerbatimChar"/>
        </w:rPr>
        <w:t xml:space="preserve">7 pct_currentlymarried                -0.0156    0.0554     -0.282  7.79e- 1</w:t>
      </w:r>
      <w:r>
        <w:br/>
      </w:r>
      <w:r>
        <w:rPr>
          <w:rStyle w:val="VerbatimChar"/>
        </w:rPr>
        <w:t xml:space="preserve">8 rate_matdeaths_upreg                -0.000130  0.000428   -0.304  7.62e- 1</w:t>
      </w:r>
      <w:r>
        <w:br/>
      </w:r>
      <w:r>
        <w:rPr>
          <w:rStyle w:val="VerbatimChar"/>
        </w:rPr>
        <w:t xml:space="preserve">9 rate_matdeaths_abs                   0.000180  0.00542     0.0332 9.74e- 1</w:t>
      </w:r>
    </w:p>
    <w:p>
      <w:pPr>
        <w:pStyle w:val="FirstParagraph"/>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r>
        <w:t xml:space="preserve">(</w:t>
      </w:r>
      <w:r>
        <w:rPr>
          <w:bCs/>
          <w:b/>
        </w:rPr>
        <w:t xml:space="preserve">table5?</w:t>
      </w:r>
      <w:r>
        <w:t xml:space="preserve">)</w:t>
      </w:r>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peforms the best with the lowest RMSE and MAE values.</w:t>
      </w:r>
    </w:p>
    <w:p>
      <w:pPr>
        <w:pStyle w:val="SourceCode"/>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r>
        <w:t xml:space="preserve">(</w:t>
      </w:r>
      <w:r>
        <w:rPr>
          <w:bCs/>
          <w:b/>
        </w:rPr>
        <w:t xml:space="preserve">table6?</w:t>
      </w:r>
      <w:r>
        <w:t xml:space="preserve">)</w:t>
      </w:r>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p>
      <w:pPr>
        <w:pStyle w:val="SourceCode"/>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r>
        <w:t xml:space="preserve">(</w:t>
      </w:r>
      <w:r>
        <w:rPr>
          <w:bCs/>
          <w:b/>
        </w:rPr>
        <w:t xml:space="preserve">figure11?</w:t>
      </w:r>
      <w:r>
        <w:t xml:space="preserve">)</w:t>
      </w:r>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p>
      <w:pPr>
        <w:pStyle w:val="CaptionedFigure"/>
      </w:pPr>
      <w:r>
        <w:drawing>
          <wp:inline>
            <wp:extent cx="5334000" cy="3295031"/>
            <wp:effectExtent b="0" l="0" r="0" t="0"/>
            <wp:docPr descr="Figure 3: Evaluating Final Model Performance on Test Data" title="" id="62" name="Picture"/>
            <a:graphic>
              <a:graphicData uri="http://schemas.openxmlformats.org/drawingml/2006/picture">
                <pic:pic>
                  <pic:nvPicPr>
                    <pic:cNvPr descr="../../results/figures/final-figures/fullmodelpred.png" id="63" name="Picture"/>
                    <pic:cNvPicPr>
                      <a:picLocks noChangeArrowheads="1" noChangeAspect="1"/>
                    </pic:cNvPicPr>
                  </pic:nvPicPr>
                  <pic:blipFill>
                    <a:blip r:embed="rId6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3: Evaluating Final Model Performance on Test Data</w:t>
      </w:r>
    </w:p>
    <w:p>
      <w:pPr>
        <w:pStyle w:val="BodyText"/>
      </w:pPr>
      <w:r>
        <w:t xml:space="preserve">We went one step further to examine the uncertainty in the full model predictions using the bootstrap method with 100 resamples of the training data. The figure shown in</w:t>
      </w:r>
      <w:r>
        <w:t xml:space="preserve"> </w:t>
      </w:r>
      <w:r>
        <w:t xml:space="preserve">(</w:t>
      </w:r>
      <w:r>
        <w:rPr>
          <w:bCs/>
          <w:b/>
        </w:rPr>
        <w:t xml:space="preserve">figure12?</w:t>
      </w:r>
      <w:r>
        <w:t xml:space="preserve">)</w:t>
      </w:r>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p>
      <w:pPr>
        <w:pStyle w:val="CaptionedFigure"/>
      </w:pPr>
      <w:r>
        <w:drawing>
          <wp:inline>
            <wp:extent cx="5334000" cy="3295031"/>
            <wp:effectExtent b="0" l="0" r="0" t="0"/>
            <wp:docPr descr="Figure 4: Evaluation of Uncertainty in Full Model Predictions" title="" id="65" name="Picture"/>
            <a:graphic>
              <a:graphicData uri="http://schemas.openxmlformats.org/drawingml/2006/picture">
                <pic:pic>
                  <pic:nvPicPr>
                    <pic:cNvPr descr="../../results/figures/final-figures/bootstrappred.png" id="66" name="Picture"/>
                    <pic:cNvPicPr>
                      <a:picLocks noChangeArrowheads="1" noChangeAspect="1"/>
                    </pic:cNvPicPr>
                  </pic:nvPicPr>
                  <pic:blipFill>
                    <a:blip r:embed="rId6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4: Evaluation of Uncertainty in Full Model Predictions</w:t>
      </w:r>
    </w:p>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t xml:space="preserve">(</w:t>
      </w:r>
      <w:r>
        <w:rPr>
          <w:bCs/>
          <w:b/>
        </w:rPr>
        <w:t xml:space="preserve">table7?</w:t>
      </w:r>
      <w:r>
        <w:t xml:space="preserve">)</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p>
      <w:pPr>
        <w:pStyle w:val="SourceCode"/>
      </w:pPr>
      <w:r>
        <w:rPr>
          <w:rStyle w:val="VerbatimChar"/>
        </w:rPr>
        <w:t xml:space="preserve"># A tibble: 9 × 3</w:t>
      </w:r>
      <w:r>
        <w:br/>
      </w:r>
      <w:r>
        <w:rPr>
          <w:rStyle w:val="VerbatimChar"/>
        </w:rPr>
        <w:t xml:space="preserve">  term                                  estimate penalty</w:t>
      </w:r>
      <w:r>
        <w:br/>
      </w:r>
      <w:r>
        <w:rPr>
          <w:rStyle w:val="VerbatimChar"/>
        </w:rPr>
        <w:t xml:space="preserve">  &lt;chr&gt;                                    &lt;dbl&gt;   &lt;dbl&gt;</w:t>
      </w:r>
      <w:r>
        <w:br/>
      </w:r>
      <w:r>
        <w:rPr>
          <w:rStyle w:val="VerbatimChar"/>
        </w:rPr>
        <w:t xml:space="preserve">1 (Intercept)                         -3.13          0.1</w:t>
      </w:r>
      <w:r>
        <w:br/>
      </w:r>
      <w:r>
        <w:rPr>
          <w:rStyle w:val="VerbatimChar"/>
        </w:rPr>
        <w:t xml:space="preserve">2 sarc_standard                       82.9           0.1</w:t>
      </w:r>
      <w:r>
        <w:br/>
      </w:r>
      <w:r>
        <w:rPr>
          <w:rStyle w:val="VerbatimChar"/>
        </w:rPr>
        <w:t xml:space="preserve">3 regionAsia                           4.19          0.1</w:t>
      </w:r>
      <w:r>
        <w:br/>
      </w:r>
      <w:r>
        <w:rPr>
          <w:rStyle w:val="VerbatimChar"/>
        </w:rPr>
        <w:t xml:space="preserve">4 regionEurope                         6.28          0.1</w:t>
      </w:r>
      <w:r>
        <w:br/>
      </w:r>
      <w:r>
        <w:rPr>
          <w:rStyle w:val="VerbatimChar"/>
        </w:rPr>
        <w:t xml:space="preserve">5 regionLatin America &amp; the Caribbean  4.87          0.1</w:t>
      </w:r>
      <w:r>
        <w:br/>
      </w:r>
      <w:r>
        <w:rPr>
          <w:rStyle w:val="VerbatimChar"/>
        </w:rPr>
        <w:t xml:space="preserve">6 regionOceania                       -0.00949       0.1</w:t>
      </w:r>
      <w:r>
        <w:br/>
      </w:r>
      <w:r>
        <w:rPr>
          <w:rStyle w:val="VerbatimChar"/>
        </w:rPr>
        <w:t xml:space="preserve">7 pct_currentlymarried                -0.0000458     0.1</w:t>
      </w:r>
      <w:r>
        <w:br/>
      </w:r>
      <w:r>
        <w:rPr>
          <w:rStyle w:val="VerbatimChar"/>
        </w:rPr>
        <w:t xml:space="preserve">8 rate_matdeaths_upreg                -0.000137      0.1</w:t>
      </w:r>
      <w:r>
        <w:br/>
      </w:r>
      <w:r>
        <w:rPr>
          <w:rStyle w:val="VerbatimChar"/>
        </w:rPr>
        <w:t xml:space="preserve">9 rate_matdeaths_abs                  -0.000597      0.1</w:t>
      </w:r>
    </w:p>
    <w:p>
      <w:pPr>
        <w:pStyle w:val="FirstParagraph"/>
      </w:pPr>
      <w:r>
        <w:t xml:space="preserve">It is important to tune the hyperparameters associated with LASSO regression to determine the model that fits best, which is shown in</w:t>
      </w:r>
      <w:r>
        <w:t xml:space="preserve"> </w:t>
      </w:r>
      <w:r>
        <w:t xml:space="preserve">(</w:t>
      </w:r>
      <w:r>
        <w:rPr>
          <w:bCs/>
          <w:b/>
        </w:rPr>
        <w:t xml:space="preserve">figure13?</w:t>
      </w:r>
      <w:r>
        <w:t xml:space="preserve">)</w:t>
      </w:r>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p>
      <w:pPr>
        <w:pStyle w:val="CaptionedFigure"/>
      </w:pPr>
      <w:r>
        <w:drawing>
          <wp:inline>
            <wp:extent cx="5334000" cy="3295031"/>
            <wp:effectExtent b="0" l="0" r="0" t="0"/>
            <wp:docPr descr="Figure 5: Parameter Tuning for LASSO Regression" title="" id="68" name="Picture"/>
            <a:graphic>
              <a:graphicData uri="http://schemas.openxmlformats.org/drawingml/2006/picture">
                <pic:pic>
                  <pic:nvPicPr>
                    <pic:cNvPr descr="../../results/figures/final-figures/lassoparameters.png" id="69" name="Picture"/>
                    <pic:cNvPicPr>
                      <a:picLocks noChangeArrowheads="1" noChangeAspect="1"/>
                    </pic:cNvPicPr>
                  </pic:nvPicPr>
                  <pic:blipFill>
                    <a:blip r:embed="rId6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5: Parameter Tuning for LASSO Regression</w:t>
      </w:r>
    </w:p>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r>
        <w:t xml:space="preserve">(</w:t>
      </w:r>
      <w:r>
        <w:rPr>
          <w:bCs/>
          <w:b/>
        </w:rPr>
        <w:t xml:space="preserve">figure14?</w:t>
      </w:r>
      <w:r>
        <w:t xml:space="preserve">)</w:t>
      </w:r>
      <w:r>
        <w:t xml:space="preserve"> </w:t>
      </w:r>
      <w:r>
        <w:t xml:space="preserve">displays stronger correlation for predicted values compared to the testing and training done with cross-validation previously.</w:t>
      </w:r>
    </w:p>
    <w:p>
      <w:pPr>
        <w:pStyle w:val="CaptionedFigure"/>
      </w:pPr>
      <w:r>
        <w:drawing>
          <wp:inline>
            <wp:extent cx="5334000" cy="5334000"/>
            <wp:effectExtent b="0" l="0" r="0" t="0"/>
            <wp:docPr descr="Predicted vs Observed Values in Random Forest Model" title="" id="71" name="Picture"/>
            <a:graphic>
              <a:graphicData uri="http://schemas.openxmlformats.org/drawingml/2006/picture">
                <pic:pic>
                  <pic:nvPicPr>
                    <pic:cNvPr descr="../../results/figures/final-figures/randomforestpred.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Predicted vs Observed Values in Random Forest Model</w:t>
      </w:r>
    </w:p>
    <w:p>
      <w:pPr>
        <w:pStyle w:val="BodyText"/>
      </w:pPr>
      <w:r>
        <w:t xml:space="preserve">Again, it is crucial to tune hyperparameters associate with machine learning models. Based on the red line displayed in</w:t>
      </w:r>
      <w:r>
        <w:t xml:space="preserve"> </w:t>
      </w:r>
      <w:r>
        <w:t xml:space="preserve">(</w:t>
      </w:r>
      <w:r>
        <w:rPr>
          <w:bCs/>
          <w:b/>
        </w:rPr>
        <w:t xml:space="preserve">figure15?</w:t>
      </w:r>
      <w:r>
        <w:t xml:space="preserve">)</w:t>
      </w:r>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models are included in the model with a node size of 1.</w:t>
      </w:r>
    </w:p>
    <w:p>
      <w:pPr>
        <w:pStyle w:val="CaptionedFigure"/>
      </w:pPr>
      <w:r>
        <w:drawing>
          <wp:inline>
            <wp:extent cx="5334000" cy="5334000"/>
            <wp:effectExtent b="0" l="0" r="0" t="0"/>
            <wp:docPr descr="Tuning Parameters for Random Forest Model" title="" id="74" name="Picture"/>
            <a:graphic>
              <a:graphicData uri="http://schemas.openxmlformats.org/drawingml/2006/picture">
                <pic:pic>
                  <pic:nvPicPr>
                    <pic:cNvPr descr="../../results/figures/final-figures/randomforesttune.png" id="75"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Tuning Parameters for Random Forest Model</w:t>
      </w:r>
    </w:p>
    <w:p>
      <w:r>
        <w:br w:type="page"/>
      </w:r>
    </w:p>
    <w:bookmarkEnd w:id="76"/>
    <w:bookmarkEnd w:id="77"/>
    <w:bookmarkStart w:id="81" w:name="discussion"/>
    <w:p>
      <w:pPr>
        <w:pStyle w:val="Heading1"/>
      </w:pPr>
      <w:r>
        <w:t xml:space="preserve">5. Discussion</w:t>
      </w:r>
    </w:p>
    <w:bookmarkStart w:id="78" w:name="summary-and-interpretation"/>
    <w:p>
      <w:pPr>
        <w:pStyle w:val="Heading2"/>
      </w:pPr>
      <w:r>
        <w:t xml:space="preserve">5.1 Summary and Interpretation</w:t>
      </w:r>
    </w:p>
    <w:p>
      <w:pPr>
        <w:pStyle w:val="FirstParagraph"/>
      </w:pPr>
      <w:r>
        <w:rPr>
          <w:iCs/>
          <w:i/>
        </w:rPr>
        <w:t xml:space="preserve">Summarize what you did, what you found and what it means.</w:t>
      </w:r>
      <w:r>
        <w:t xml:space="preserve"> </w:t>
      </w:r>
      <w:r>
        <w:t xml:space="preserve">critically think about each model (same number of predictors so we recommend random forest) all not great</w:t>
      </w:r>
    </w:p>
    <w:bookmarkEnd w:id="78"/>
    <w:bookmarkStart w:id="79"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79"/>
    <w:bookmarkStart w:id="80" w:name="conclusions"/>
    <w:p>
      <w:pPr>
        <w:pStyle w:val="Heading2"/>
      </w:pPr>
      <w:r>
        <w:t xml:space="preserve">5.3 Conclusions</w:t>
      </w:r>
    </w:p>
    <w:p>
      <w:pPr>
        <w:pStyle w:val="FirstParagraph"/>
      </w:pPr>
      <w:r>
        <w:rPr>
          <w:iCs/>
          <w:i/>
        </w:rPr>
        <w:t xml:space="preserve">What are the main take-home messages?</w:t>
      </w:r>
    </w:p>
    <w:p>
      <w:r>
        <w:br w:type="page"/>
      </w:r>
    </w:p>
    <w:bookmarkEnd w:id="80"/>
    <w:bookmarkEnd w:id="81"/>
    <w:bookmarkStart w:id="91" w:name="references"/>
    <w:p>
      <w:pPr>
        <w:pStyle w:val="Heading1"/>
      </w:pPr>
      <w:r>
        <w:t xml:space="preserve">6. References</w:t>
      </w:r>
    </w:p>
    <w:p>
      <w:pPr>
        <w:pStyle w:val="FirstParagraph"/>
      </w:pPr>
      <w:r>
        <w:rPr>
          <w:iCs/>
          <w:i/>
        </w:rPr>
        <w:t xml:space="preserve">Include citations in your Rmd file using bibtex, the list of references will automatically be placed at the end</w:t>
      </w:r>
    </w:p>
    <w:p>
      <w:pPr>
        <w:pStyle w:val="BodyText"/>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90" w:name="refs"/>
    <w:bookmarkStart w:id="83"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2">
        <w:r>
          <w:rPr>
            <w:rStyle w:val="Hyperlink"/>
          </w:rPr>
          <w:t xml:space="preserve">https://doi.org/10.1016/j.ijgo.2011.10.008</w:t>
        </w:r>
      </w:hyperlink>
    </w:p>
    <w:bookmarkEnd w:id="83"/>
    <w:bookmarkStart w:id="85"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4">
        <w:r>
          <w:rPr>
            <w:rStyle w:val="Hyperlink"/>
          </w:rPr>
          <w:t xml:space="preserve">https://doi.org/10.1136/bmjgh-2021-007151</w:t>
        </w:r>
      </w:hyperlink>
    </w:p>
    <w:bookmarkEnd w:id="85"/>
    <w:bookmarkStart w:id="87"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6">
        <w:r>
          <w:rPr>
            <w:rStyle w:val="Hyperlink"/>
          </w:rPr>
          <w:t xml:space="preserve">https://doi.org/10.1016/j.contraception.2017.10.003</w:t>
        </w:r>
      </w:hyperlink>
    </w:p>
    <w:bookmarkEnd w:id="87"/>
    <w:bookmarkStart w:id="89"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8">
        <w:r>
          <w:rPr>
            <w:rStyle w:val="Hyperlink"/>
          </w:rPr>
          <w:t xml:space="preserve">https://doi.org/10.1016/j.jogc.2020.06.023</w:t>
        </w:r>
      </w:hyperlink>
    </w:p>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hyperlink" Id="rId86" Target="https://doi.org/10.1016/j.contraception.2017.10.003" TargetMode="External" /><Relationship Type="http://schemas.openxmlformats.org/officeDocument/2006/relationships/hyperlink" Id="rId82" Target="https://doi.org/10.1016/j.ijgo.2011.10.008" TargetMode="External" /><Relationship Type="http://schemas.openxmlformats.org/officeDocument/2006/relationships/hyperlink" Id="rId88" Target="https://doi.org/10.1016/j.jogc.2020.06.023" TargetMode="External" /><Relationship Type="http://schemas.openxmlformats.org/officeDocument/2006/relationships/hyperlink" Id="rId84"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6" Target="https://doi.org/10.1016/j.contraception.2017.10.003" TargetMode="External" /><Relationship Type="http://schemas.openxmlformats.org/officeDocument/2006/relationships/hyperlink" Id="rId82" Target="https://doi.org/10.1016/j.ijgo.2011.10.008" TargetMode="External" /><Relationship Type="http://schemas.openxmlformats.org/officeDocument/2006/relationships/hyperlink" Id="rId88" Target="https://doi.org/10.1016/j.jogc.2020.06.023" TargetMode="External" /><Relationship Type="http://schemas.openxmlformats.org/officeDocument/2006/relationships/hyperlink" Id="rId84"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2024-04-16T12:20:34Z</dcterms:created>
  <dcterms:modified xsi:type="dcterms:W3CDTF">2024-04-16T12:20:34Z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2024-04-16</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