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r>
        <w:t xml:space="preserve">Kaggle.com 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 to see</w:t>
      </w:r>
      <w:r>
        <w:t xml:space="preserve"> </w:t>
      </w:r>
      <w:r>
        <w:t xml:space="preserve">a positive association between increasing physical activity levels and</w:t>
      </w:r>
      <w:r>
        <w:t xml:space="preserve"> </w:t>
      </w:r>
      <w:r>
        <w:t xml:space="preserve">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 steps.org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4985144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" title="" id="50" name="Picture"/>
            <a:graphic>
              <a:graphicData uri="http://schemas.openxmlformats.org/drawingml/2006/picture">
                <pic:pic>
                  <pic:nvPicPr>
                    <pic:cNvPr descr="images/tab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</w:t>
      </w:r>
      <w:r>
        <w:t xml:space="preserve"> </w:t>
      </w:r>
      <w:r>
        <w:t xml:space="preserve">predictor.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</w:t>
      </w:r>
      <w:r>
        <w:t xml:space="preserve"> </w:t>
      </w:r>
      <w:r>
        <w:t xml:space="preserve">We chose not to split our data into a train/test split due to the small number of observations and presence of rare values in our data. We believe that fitting using CV minimized the downsides of this.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2024-04-30T21:11:54Z</dcterms:created>
  <dcterms:modified xsi:type="dcterms:W3CDTF">2024-04-30T21:11:54Z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../../assets/references_sleepdata.bib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