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6"/>
          <w:szCs w:val="36"/>
        </w:rPr>
        <w:t xml:space="preserve">Olist E-Commerce: Delivery &amp; Satisfaction Analysis</w:t>
      </w:r>
    </w:p>
    <w:p>
      <w:pPr>
        <w:spacing w:after="400"/>
      </w:pPr>
      <w:r>
        <w:rPr>
          <w:i/>
          <w:iCs/>
          <w:color w:val="555555"/>
          <w:sz w:val="24"/>
          <w:szCs w:val="24"/>
        </w:rPr>
        <w:t xml:space="preserve">Business Analytics Project — Insight Report &amp; Recommendations</w:t>
      </w:r>
    </w:p>
    <w:p>
      <w:pPr>
        <w:pStyle w:val="Heading1"/>
        <w:spacing w:after="150" w:before="300"/>
      </w:pPr>
      <w:r>
        <w:t xml:space="preserve">1. Executive Summary</w:t>
      </w:r>
    </w:p>
    <w:p>
      <w:pPr>
        <w:spacing w:after="120"/>
      </w:pPr>
      <w:r>
        <w:t xml:space="preserve">This project analyzed the Olist Brazilian e-commerce dataset (2016–2018, ~99,000 orders) to identify the drivers of customer dissatisfaction. The analysis found that delivery lateness is the single strongest factor behind low review scores, and that this problem is concentrated in specific states (notably RJ and BA) due to interstate shipping distance rather than seller quality or product category. A Power BI dashboard was built to track these KPIs on an ongoing basis, and this report summarizes the findings and recommended actions.</w:t>
      </w:r>
    </w:p>
    <w:p>
      <w:pPr>
        <w:pStyle w:val="Heading1"/>
        <w:spacing w:after="150" w:before="300"/>
      </w:pPr>
      <w:r>
        <w:t xml:space="preserve">2. Business Problem Statement</w:t>
      </w:r>
    </w:p>
    <w:p>
      <w:pPr>
        <w:spacing w:after="120"/>
      </w:pPr>
      <w:r>
        <w:t xml:space="preserve">Despite a large volume of completed orders, Olist experiences inconsistent customer satisfaction, reflected in variable review scores. Delivery delays, seller performance, and regional logistics gaps were suspected contributors, but the root causes had not been systematically analyzed prior to this project.</w:t>
      </w:r>
    </w:p>
    <w:p>
      <w:pPr>
        <w:pStyle w:val="Heading1"/>
        <w:spacing w:after="150" w:before="300"/>
      </w:pPr>
      <w:r>
        <w:t xml:space="preserve">3. Objectives &amp; Scope</w:t>
      </w:r>
    </w:p>
    <w:p>
      <w:pPr>
        <w:pStyle w:val="Heading2"/>
        <w:spacing w:after="120" w:before="250"/>
      </w:pPr>
      <w:r>
        <w:t xml:space="preserve">Objectives</w:t>
      </w:r>
    </w:p>
    <w:p>
      <w:pPr>
        <w:pStyle w:val="ListParagraph"/>
        <w:numPr>
          <w:ilvl w:val="0"/>
          <w:numId w:val="1"/>
        </w:numPr>
        <w:spacing w:after="80"/>
      </w:pPr>
      <w:r>
        <w:t xml:space="preserve">Identify the key drivers of low customer review scores</w:t>
      </w:r>
    </w:p>
    <w:p>
      <w:pPr>
        <w:pStyle w:val="ListParagraph"/>
        <w:numPr>
          <w:ilvl w:val="0"/>
          <w:numId w:val="1"/>
        </w:numPr>
        <w:spacing w:after="80"/>
      </w:pPr>
      <w:r>
        <w:t xml:space="preserve">Quantify the relationship between delivery delay and customer satisfaction</w:t>
      </w:r>
    </w:p>
    <w:p>
      <w:pPr>
        <w:pStyle w:val="ListParagraph"/>
        <w:numPr>
          <w:ilvl w:val="0"/>
          <w:numId w:val="1"/>
        </w:numPr>
        <w:spacing w:after="80"/>
      </w:pPr>
      <w:r>
        <w:t xml:space="preserve">Evaluate seller performance across regions and categories</w:t>
      </w:r>
    </w:p>
    <w:p>
      <w:pPr>
        <w:pStyle w:val="ListParagraph"/>
        <w:numPr>
          <w:ilvl w:val="0"/>
          <w:numId w:val="1"/>
        </w:numPr>
        <w:spacing w:after="80"/>
      </w:pPr>
      <w:r>
        <w:t xml:space="preserve">Provide data-backed recommendations to improve delivery reliability and customer experience</w:t>
      </w:r>
    </w:p>
    <w:p>
      <w:pPr>
        <w:pStyle w:val="Heading2"/>
        <w:spacing w:after="120" w:before="250"/>
      </w:pPr>
      <w:r>
        <w:t xml:space="preserve">Scope</w:t>
      </w:r>
    </w:p>
    <w:p>
      <w:pPr>
        <w:spacing w:after="120"/>
      </w:pPr>
      <w:r>
        <w:rPr>
          <w:b/>
          <w:bCs/>
        </w:rPr>
        <w:t xml:space="preserve">In scope: </w:t>
      </w:r>
      <w:r>
        <w:t xml:space="preserve">Orders, order items, payments, reviews, products, customers, sellers, and geolocation data from September 2016 to October 2018.</w:t>
      </w:r>
    </w:p>
    <w:p>
      <w:pPr>
        <w:spacing w:after="120"/>
      </w:pPr>
      <w:r>
        <w:rPr>
          <w:b/>
          <w:bCs/>
        </w:rPr>
        <w:t xml:space="preserve">Out of scope: </w:t>
      </w:r>
      <w:r>
        <w:t xml:space="preserve">Predictive modeling, real-time data integration, and any data outside the 2016–2018 window.</w:t>
      </w:r>
    </w:p>
    <w:p>
      <w:pPr>
        <w:pStyle w:val="Heading1"/>
        <w:spacing w:after="150" w:before="300"/>
      </w:pPr>
      <w:r>
        <w:t xml:space="preserve">4. Methodology</w:t>
      </w:r>
    </w:p>
    <w:p>
      <w:pPr>
        <w:pStyle w:val="ListParagraph"/>
        <w:numPr>
          <w:ilvl w:val="0"/>
          <w:numId w:val="1"/>
        </w:numPr>
        <w:spacing w:after="80"/>
      </w:pPr>
      <w:r>
        <w:t xml:space="preserve">Imported and joined 8 relational tables in Power BI (orders, items, payments, reviews, customers, sellers, products, category translation)</w:t>
      </w:r>
    </w:p>
    <w:p>
      <w:pPr>
        <w:pStyle w:val="ListParagraph"/>
        <w:numPr>
          <w:ilvl w:val="0"/>
          <w:numId w:val="1"/>
        </w:numPr>
        <w:spacing w:after="80"/>
      </w:pPr>
      <w:r>
        <w:t xml:space="preserve">Cleaned data: removed 814 duplicate review records (kept most recent review per order); filtered analysis to orders with status "delivered"</w:t>
      </w:r>
    </w:p>
    <w:p>
      <w:pPr>
        <w:pStyle w:val="ListParagraph"/>
        <w:numPr>
          <w:ilvl w:val="0"/>
          <w:numId w:val="1"/>
        </w:numPr>
        <w:spacing w:after="80"/>
      </w:pPr>
      <w:r>
        <w:t xml:space="preserve">Calculated delivery delay (actual vs. estimated delivery date) and a binary late-delivery flag at the order level</w:t>
      </w:r>
    </w:p>
    <w:p>
      <w:pPr>
        <w:pStyle w:val="ListParagraph"/>
        <w:numPr>
          <w:ilvl w:val="0"/>
          <w:numId w:val="1"/>
        </w:numPr>
        <w:spacing w:after="80"/>
      </w:pPr>
      <w:r>
        <w:t xml:space="preserve">Built KPIs and DAX measures for % orders late, average review score, and seller-level late-delivery rate</w:t>
      </w:r>
    </w:p>
    <w:p>
      <w:pPr>
        <w:pStyle w:val="ListParagraph"/>
        <w:numPr>
          <w:ilvl w:val="0"/>
          <w:numId w:val="1"/>
        </w:numPr>
        <w:spacing w:after="80"/>
      </w:pPr>
      <w:r>
        <w:t xml:space="preserve">Cross-referenced seller location against customer location to test whether delays were seller-driven or logistics-driven</w:t>
      </w:r>
    </w:p>
    <w:p>
      <w:pPr>
        <w:pStyle w:val="Heading1"/>
        <w:spacing w:after="150" w:before="300"/>
      </w:pPr>
      <w:r>
        <w:t xml:space="preserve">5. Key Findings</w:t>
      </w:r>
    </w:p>
    <w:p>
      <w:pPr>
        <w:pStyle w:val="Heading2"/>
        <w:spacing w:after="120" w:before="250"/>
      </w:pPr>
      <w:r>
        <w:t xml:space="preserve">Finding 1 — Lateness is the strongest driver of dissatisfaction</w:t>
      </w:r>
    </w:p>
    <w:p>
      <w:pPr>
        <w:spacing w:after="120"/>
      </w:pPr>
      <w:r>
        <w:t xml:space="preserve">Only 6.8% of delivered orders arrive late, but the impact on satisfaction is severe: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D9D9" w:color="auto" w:val="clear"/>
          </w:tcPr>
          <w:p>
            <w:r>
              <w:rPr>
                <w:b/>
                <w:bCs/>
                <w:sz w:val="20"/>
                <w:szCs w:val="20"/>
              </w:rPr>
              <w:t xml:space="preserve">Delivery status</w:t>
            </w:r>
          </w:p>
        </w:tc>
        <w:tc>
          <w:tcPr>
            <w:tcW w:type="dxa" w:w="4680"/>
            <w:shd w:fill="D9D9D9" w:color="auto" w:val="clear"/>
          </w:tcPr>
          <w:p>
            <w:r>
              <w:rPr>
                <w:b/>
                <w:bCs/>
                <w:sz w:val="20"/>
                <w:szCs w:val="20"/>
              </w:rPr>
              <w:t xml:space="preserve">Average review score</w:t>
            </w:r>
          </w:p>
        </w:tc>
      </w:tr>
      <w:tr>
        <w:tc>
          <w:tcPr>
            <w:tcW w:type="dxa" w:w="4680"/>
          </w:tcPr>
          <w:p>
            <w:r>
              <w:rPr>
                <w:sz w:val="20"/>
                <w:szCs w:val="20"/>
              </w:rPr>
              <w:t xml:space="preserve">On-time</w:t>
            </w:r>
          </w:p>
        </w:tc>
        <w:tc>
          <w:tcPr>
            <w:tcW w:type="dxa" w:w="4680"/>
          </w:tcPr>
          <w:p>
            <w:r>
              <w:rPr>
                <w:sz w:val="20"/>
                <w:szCs w:val="20"/>
              </w:rPr>
              <w:t xml:space="preserve">4.29 / 5</w:t>
            </w:r>
          </w:p>
        </w:tc>
      </w:tr>
      <w:tr>
        <w:tc>
          <w:tcPr>
            <w:tcW w:type="dxa" w:w="4680"/>
          </w:tcPr>
          <w:p>
            <w:r>
              <w:rPr>
                <w:sz w:val="20"/>
                <w:szCs w:val="20"/>
              </w:rPr>
              <w:t xml:space="preserve">Late</w:t>
            </w:r>
          </w:p>
        </w:tc>
        <w:tc>
          <w:tcPr>
            <w:tcW w:type="dxa" w:w="4680"/>
          </w:tcPr>
          <w:p>
            <w:r>
              <w:rPr>
                <w:sz w:val="20"/>
                <w:szCs w:val="20"/>
              </w:rPr>
              <w:t xml:space="preserve">2.27 / 5</w:t>
            </w:r>
          </w:p>
        </w:tc>
      </w:tr>
    </w:tbl>
    <w:p>
      <w:pPr>
        <w:spacing w:after="200"/>
      </w:pPr>
    </w:p>
    <w:p>
      <w:pPr>
        <w:spacing w:after="120"/>
      </w:pPr>
      <w:r>
        <w:t xml:space="preserve">The correlation between delivery delay (in days) and review score is -0.27, a moderate negative relationship confirming that longer delays are associated with lower satisfaction.</w:t>
      </w:r>
    </w:p>
    <w:p>
      <w:pPr>
        <w:pStyle w:val="Heading2"/>
        <w:spacing w:after="120" w:before="250"/>
      </w:pPr>
      <w:r>
        <w:t xml:space="preserve">Finding 2 — The problem is regional, not product-based</w:t>
      </w:r>
    </w:p>
    <w:p>
      <w:pPr>
        <w:spacing w:after="120"/>
      </w:pPr>
      <w:r>
        <w:t xml:space="preserve">Product category late-delivery rates are fairly uniform (5–7% across the top 10 categories by volume). State-level data tells a different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1872"/>
        <w:gridCol w:w="2808"/>
        <w:gridCol w:w="3276"/>
      </w:tblGrid>
      <w:tr>
        <w:trPr>
          <w:tblHeader/>
        </w:trPr>
        <w:tc>
          <w:tcPr>
            <w:tcW w:type="dxa" w:w="1404"/>
            <w:shd w:fill="D9D9D9" w:color="auto" w:val="clear"/>
          </w:tcPr>
          <w:p>
            <w:r>
              <w:rPr>
                <w:b/>
                <w:bCs/>
                <w:sz w:val="20"/>
                <w:szCs w:val="20"/>
              </w:rPr>
              <w:t xml:space="preserve">State</w:t>
            </w:r>
          </w:p>
        </w:tc>
        <w:tc>
          <w:tcPr>
            <w:tcW w:type="dxa" w:w="1872"/>
            <w:shd w:fill="D9D9D9" w:color="auto" w:val="clear"/>
          </w:tcPr>
          <w:p>
            <w:r>
              <w:rPr>
                <w:b/>
                <w:bCs/>
                <w:sz w:val="20"/>
                <w:szCs w:val="20"/>
              </w:rPr>
              <w:t xml:space="preserve">Orders</w:t>
            </w:r>
          </w:p>
        </w:tc>
        <w:tc>
          <w:tcPr>
            <w:tcW w:type="dxa" w:w="2808"/>
            <w:shd w:fill="D9D9D9" w:color="auto" w:val="clear"/>
          </w:tcPr>
          <w:p>
            <w:r>
              <w:rPr>
                <w:b/>
                <w:bCs/>
                <w:sz w:val="20"/>
                <w:szCs w:val="20"/>
              </w:rPr>
              <w:t xml:space="preserve">Avg review score</w:t>
            </w:r>
          </w:p>
        </w:tc>
        <w:tc>
          <w:tcPr>
            <w:tcW w:type="dxa" w:w="3276"/>
            <w:shd w:fill="D9D9D9" w:color="auto" w:val="clear"/>
          </w:tcPr>
          <w:p>
            <w:r>
              <w:rPr>
                <w:b/>
                <w:bCs/>
                <w:sz w:val="20"/>
                <w:szCs w:val="20"/>
              </w:rPr>
              <w:t xml:space="preserve">% orders late</w:t>
            </w:r>
          </w:p>
        </w:tc>
      </w:tr>
      <w:tr>
        <w:tc>
          <w:tcPr>
            <w:tcW w:type="dxa" w:w="1404"/>
          </w:tcPr>
          <w:p>
            <w:r>
              <w:rPr>
                <w:sz w:val="20"/>
                <w:szCs w:val="20"/>
              </w:rPr>
              <w:t xml:space="preserve">SP</w:t>
            </w:r>
          </w:p>
        </w:tc>
        <w:tc>
          <w:tcPr>
            <w:tcW w:type="dxa" w:w="1872"/>
          </w:tcPr>
          <w:p>
            <w:r>
              <w:rPr>
                <w:sz w:val="20"/>
                <w:szCs w:val="20"/>
              </w:rPr>
              <w:t xml:space="preserve">40,266</w:t>
            </w:r>
          </w:p>
        </w:tc>
        <w:tc>
          <w:tcPr>
            <w:tcW w:type="dxa" w:w="2808"/>
          </w:tcPr>
          <w:p>
            <w:r>
              <w:rPr>
                <w:sz w:val="20"/>
                <w:szCs w:val="20"/>
              </w:rPr>
              <w:t xml:space="preserve">4.25</w:t>
            </w:r>
          </w:p>
        </w:tc>
        <w:tc>
          <w:tcPr>
            <w:tcW w:type="dxa" w:w="3276"/>
          </w:tcPr>
          <w:p>
            <w:r>
              <w:rPr>
                <w:sz w:val="20"/>
                <w:szCs w:val="20"/>
              </w:rPr>
              <w:t xml:space="preserve">4.4%</w:t>
            </w:r>
          </w:p>
        </w:tc>
      </w:tr>
      <w:tr>
        <w:tc>
          <w:tcPr>
            <w:tcW w:type="dxa" w:w="1404"/>
          </w:tcPr>
          <w:p>
            <w:r>
              <w:rPr>
                <w:sz w:val="20"/>
                <w:szCs w:val="20"/>
              </w:rPr>
              <w:t xml:space="preserve">MG</w:t>
            </w:r>
          </w:p>
        </w:tc>
        <w:tc>
          <w:tcPr>
            <w:tcW w:type="dxa" w:w="1872"/>
          </w:tcPr>
          <w:p>
            <w:r>
              <w:rPr>
                <w:sz w:val="20"/>
                <w:szCs w:val="20"/>
              </w:rPr>
              <w:t xml:space="preserve">11,285</w:t>
            </w:r>
          </w:p>
        </w:tc>
        <w:tc>
          <w:tcPr>
            <w:tcW w:type="dxa" w:w="2808"/>
          </w:tcPr>
          <w:p>
            <w:r>
              <w:rPr>
                <w:sz w:val="20"/>
                <w:szCs w:val="20"/>
              </w:rPr>
              <w:t xml:space="preserve">4.19</w:t>
            </w:r>
          </w:p>
        </w:tc>
        <w:tc>
          <w:tcPr>
            <w:tcW w:type="dxa" w:w="3276"/>
          </w:tcPr>
          <w:p>
            <w:r>
              <w:rPr>
                <w:sz w:val="20"/>
                <w:szCs w:val="20"/>
              </w:rPr>
              <w:t xml:space="preserve">4.5%</w:t>
            </w:r>
          </w:p>
        </w:tc>
      </w:tr>
      <w:tr>
        <w:tc>
          <w:tcPr>
            <w:tcW w:type="dxa" w:w="1404"/>
          </w:tcPr>
          <w:p>
            <w:r>
              <w:rPr>
                <w:sz w:val="20"/>
                <w:szCs w:val="20"/>
              </w:rPr>
              <w:t xml:space="preserve">RJ</w:t>
            </w:r>
          </w:p>
        </w:tc>
        <w:tc>
          <w:tcPr>
            <w:tcW w:type="dxa" w:w="1872"/>
          </w:tcPr>
          <w:p>
            <w:r>
              <w:rPr>
                <w:sz w:val="20"/>
                <w:szCs w:val="20"/>
              </w:rPr>
              <w:t xml:space="preserve">12,211</w:t>
            </w:r>
          </w:p>
        </w:tc>
        <w:tc>
          <w:tcPr>
            <w:tcW w:type="dxa" w:w="2808"/>
          </w:tcPr>
          <w:p>
            <w:r>
              <w:rPr>
                <w:sz w:val="20"/>
                <w:szCs w:val="20"/>
              </w:rPr>
              <w:t xml:space="preserve">3.97</w:t>
            </w:r>
          </w:p>
        </w:tc>
        <w:tc>
          <w:tcPr>
            <w:tcW w:type="dxa" w:w="3276"/>
          </w:tcPr>
          <w:p>
            <w:r>
              <w:rPr>
                <w:sz w:val="20"/>
                <w:szCs w:val="20"/>
              </w:rPr>
              <w:t xml:space="preserve">11.9%</w:t>
            </w:r>
          </w:p>
        </w:tc>
      </w:tr>
      <w:tr>
        <w:tc>
          <w:tcPr>
            <w:tcW w:type="dxa" w:w="1404"/>
          </w:tcPr>
          <w:p>
            <w:r>
              <w:rPr>
                <w:sz w:val="20"/>
                <w:szCs w:val="20"/>
              </w:rPr>
              <w:t xml:space="preserve">BA</w:t>
            </w:r>
          </w:p>
        </w:tc>
        <w:tc>
          <w:tcPr>
            <w:tcW w:type="dxa" w:w="1872"/>
          </w:tcPr>
          <w:p>
            <w:r>
              <w:rPr>
                <w:sz w:val="20"/>
                <w:szCs w:val="20"/>
              </w:rPr>
              <w:t xml:space="preserve">3,229</w:t>
            </w:r>
          </w:p>
        </w:tc>
        <w:tc>
          <w:tcPr>
            <w:tcW w:type="dxa" w:w="2808"/>
          </w:tcPr>
          <w:p>
            <w:r>
              <w:rPr>
                <w:sz w:val="20"/>
                <w:szCs w:val="20"/>
              </w:rPr>
              <w:t xml:space="preserve">3.93</w:t>
            </w:r>
          </w:p>
        </w:tc>
        <w:tc>
          <w:tcPr>
            <w:tcW w:type="dxa" w:w="3276"/>
          </w:tcPr>
          <w:p>
            <w:r>
              <w:rPr>
                <w:sz w:val="20"/>
                <w:szCs w:val="20"/>
              </w:rPr>
              <w:t xml:space="preserve">11.9%</w:t>
            </w:r>
          </w:p>
        </w:tc>
      </w:tr>
      <w:tr>
        <w:tc>
          <w:tcPr>
            <w:tcW w:type="dxa" w:w="1404"/>
          </w:tcPr>
          <w:p>
            <w:r>
              <w:rPr>
                <w:sz w:val="20"/>
                <w:szCs w:val="20"/>
              </w:rPr>
              <w:t xml:space="preserve">ES</w:t>
            </w:r>
          </w:p>
        </w:tc>
        <w:tc>
          <w:tcPr>
            <w:tcW w:type="dxa" w:w="1872"/>
          </w:tcPr>
          <w:p>
            <w:r>
              <w:rPr>
                <w:sz w:val="20"/>
                <w:szCs w:val="20"/>
              </w:rPr>
              <w:t xml:space="preserve">1,969</w:t>
            </w:r>
          </w:p>
        </w:tc>
        <w:tc>
          <w:tcPr>
            <w:tcW w:type="dxa" w:w="2808"/>
          </w:tcPr>
          <w:p>
            <w:r>
              <w:rPr>
                <w:sz w:val="20"/>
                <w:szCs w:val="20"/>
              </w:rPr>
              <w:t xml:space="preserve">4.08</w:t>
            </w:r>
          </w:p>
        </w:tc>
        <w:tc>
          <w:tcPr>
            <w:tcW w:type="dxa" w:w="3276"/>
          </w:tcPr>
          <w:p>
            <w:r>
              <w:rPr>
                <w:sz w:val="20"/>
                <w:szCs w:val="20"/>
              </w:rPr>
              <w:t xml:space="preserve">10.4%</w:t>
            </w:r>
          </w:p>
        </w:tc>
      </w:tr>
    </w:tbl>
    <w:p>
      <w:pPr>
        <w:spacing w:after="200"/>
      </w:pPr>
    </w:p>
    <w:p>
      <w:pPr>
        <w:spacing w:after="120"/>
      </w:pPr>
      <w:r>
        <w:t xml:space="preserve">RJ and BA show nearly 3x the late-delivery rate of SP, with correspondingly lower review scores.</w:t>
      </w:r>
    </w:p>
    <w:p>
      <w:pPr>
        <w:pStyle w:val="Heading2"/>
        <w:spacing w:after="120" w:before="250"/>
      </w:pPr>
      <w:r>
        <w:t xml:space="preserve">Finding 3 — It's a logistics problem, not a seller-quality problem</w:t>
      </w:r>
    </w:p>
    <w:p>
      <w:pPr>
        <w:spacing w:after="120"/>
      </w:pPr>
      <w:r>
        <w:t xml:space="preserve">The sellers with the highest individual late-delivery rates are overwhelmingly based in SP, not RJ or BA — ruling out "bad local sellers" as the explanation for RJ/BA's poor performance.</w:t>
      </w:r>
    </w:p>
    <w:p>
      <w:pPr>
        <w:spacing w:after="120"/>
      </w:pPr>
      <w:r>
        <w:t xml:space="preserve">Instead, shipment distance is the driver. Comparing same-state vs. interstate shipments: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dxa" w:w="3744"/>
            <w:shd w:fill="D9D9D9" w:color="auto" w:val="clear"/>
          </w:tcPr>
          <w:p>
            <w:r>
              <w:rPr>
                <w:b/>
                <w:bCs/>
                <w:sz w:val="20"/>
                <w:szCs w:val="20"/>
              </w:rPr>
              <w:t xml:space="preserve">Shipment type</w:t>
            </w:r>
          </w:p>
        </w:tc>
        <w:tc>
          <w:tcPr>
            <w:tcW w:type="dxa" w:w="2808"/>
            <w:shd w:fill="D9D9D9" w:color="auto" w:val="clear"/>
          </w:tcPr>
          <w:p>
            <w:r>
              <w:rPr>
                <w:b/>
                <w:bCs/>
                <w:sz w:val="20"/>
                <w:szCs w:val="20"/>
              </w:rPr>
              <w:t xml:space="preserve">% orders late (all states)</w:t>
            </w:r>
          </w:p>
        </w:tc>
        <w:tc>
          <w:tcPr>
            <w:tcW w:type="dxa" w:w="2808"/>
            <w:shd w:fill="D9D9D9" w:color="auto" w:val="clear"/>
          </w:tcPr>
          <w:p>
            <w:r>
              <w:rPr>
                <w:b/>
                <w:bCs/>
                <w:sz w:val="20"/>
                <w:szCs w:val="20"/>
              </w:rPr>
              <w:t xml:space="preserve">% orders late (RJ/BA customers)</w:t>
            </w:r>
          </w:p>
        </w:tc>
      </w:tr>
      <w:tr>
        <w:tc>
          <w:tcPr>
            <w:tcW w:type="dxa" w:w="3744"/>
          </w:tcPr>
          <w:p>
            <w:r>
              <w:rPr>
                <w:sz w:val="20"/>
                <w:szCs w:val="20"/>
              </w:rPr>
              <w:t xml:space="preserve">Same-state</w:t>
            </w:r>
          </w:p>
        </w:tc>
        <w:tc>
          <w:tcPr>
            <w:tcW w:type="dxa" w:w="2808"/>
          </w:tcPr>
          <w:p>
            <w:r>
              <w:rPr>
                <w:sz w:val="20"/>
                <w:szCs w:val="20"/>
              </w:rPr>
              <w:t xml:space="preserve">4.5%</w:t>
            </w:r>
          </w:p>
        </w:tc>
        <w:tc>
          <w:tcPr>
            <w:tcW w:type="dxa" w:w="2808"/>
          </w:tcPr>
          <w:p>
            <w:r>
              <w:rPr>
                <w:sz w:val="20"/>
                <w:szCs w:val="20"/>
              </w:rPr>
              <w:t xml:space="preserve">4.6%</w:t>
            </w:r>
          </w:p>
        </w:tc>
      </w:tr>
      <w:tr>
        <w:tc>
          <w:tcPr>
            <w:tcW w:type="dxa" w:w="3744"/>
          </w:tcPr>
          <w:p>
            <w:r>
              <w:rPr>
                <w:sz w:val="20"/>
                <w:szCs w:val="20"/>
              </w:rPr>
              <w:t xml:space="preserve">Interstate</w:t>
            </w:r>
          </w:p>
        </w:tc>
        <w:tc>
          <w:tcPr>
            <w:tcW w:type="dxa" w:w="2808"/>
          </w:tcPr>
          <w:p>
            <w:r>
              <w:rPr>
                <w:sz w:val="20"/>
                <w:szCs w:val="20"/>
              </w:rPr>
              <w:t xml:space="preserve">7.8%</w:t>
            </w:r>
          </w:p>
        </w:tc>
        <w:tc>
          <w:tcPr>
            <w:tcW w:type="dxa" w:w="2808"/>
          </w:tcPr>
          <w:p>
            <w:r>
              <w:rPr>
                <w:sz w:val="20"/>
                <w:szCs w:val="20"/>
              </w:rPr>
              <w:t xml:space="preserve">11.8%</w:t>
            </w:r>
          </w:p>
        </w:tc>
      </w:tr>
    </w:tbl>
    <w:p>
      <w:pPr>
        <w:spacing w:after="200"/>
      </w:pPr>
    </w:p>
    <w:p>
      <w:pPr>
        <w:spacing w:after="120"/>
      </w:pPr>
      <w:r>
        <w:t xml:space="preserve">93% of orders shipped to RJ/BA customers are interstate shipments, and these are late more than twice as often as local shipments — explaining why these states show poor aggregate performance despite having no unusual concentration of poor-performing sellers.</w:t>
      </w:r>
    </w:p>
    <w:p>
      <w:pPr>
        <w:pStyle w:val="Heading1"/>
        <w:spacing w:after="150" w:before="300"/>
      </w:pPr>
      <w:r>
        <w:t xml:space="preserve">6. Recommendations</w:t>
      </w:r>
    </w:p>
    <w:p>
      <w:pPr>
        <w:pStyle w:val="ListParagraph"/>
        <w:numPr>
          <w:ilvl w:val="0"/>
          <w:numId w:val="1"/>
        </w:numPr>
        <w:spacing w:after="80"/>
      </w:pPr>
      <w:r>
        <w:t xml:space="preserve">Review carrier/logistics partner performance specifically on interstate routes into RJ, BA, and ES — these three states account for a disproportionate share of late deliveries</w:t>
      </w:r>
    </w:p>
    <w:p>
      <w:pPr>
        <w:pStyle w:val="ListParagraph"/>
        <w:numPr>
          <w:ilvl w:val="0"/>
          <w:numId w:val="1"/>
        </w:numPr>
        <w:spacing w:after="80"/>
      </w:pPr>
      <w:r>
        <w:t xml:space="preserve">Consider tightening estimated delivery date calculations for interstate shipments to these states, so customer expectations better match actual transit times</w:t>
      </w:r>
    </w:p>
    <w:p>
      <w:pPr>
        <w:pStyle w:val="ListParagraph"/>
        <w:numPr>
          <w:ilvl w:val="0"/>
          <w:numId w:val="1"/>
        </w:numPr>
        <w:spacing w:after="80"/>
      </w:pPr>
      <w:r>
        <w:t xml:space="preserve">Investigate whether regional fulfillment hubs or additional carrier partners near RJ/BA could reduce interstate transit times</w:t>
      </w:r>
    </w:p>
    <w:p>
      <w:pPr>
        <w:pStyle w:val="ListParagraph"/>
        <w:numPr>
          <w:ilvl w:val="0"/>
          <w:numId w:val="1"/>
        </w:numPr>
        <w:spacing w:after="80"/>
      </w:pPr>
      <w:r>
        <w:t xml:space="preserve">Continue monitoring the seller-level late-delivery leaderboard (built into the dashboard) to catch any individual seller issues separately from the regional logistics issue</w:t>
      </w:r>
    </w:p>
    <w:p>
      <w:pPr>
        <w:pStyle w:val="ListParagraph"/>
        <w:numPr>
          <w:ilvl w:val="0"/>
          <w:numId w:val="1"/>
        </w:numPr>
        <w:spacing w:after="80"/>
      </w:pPr>
      <w:r>
        <w:t xml:space="preserve">Track the % late and average review score KPIs monthly using the Power BI dashboard to measure whether corrective actions are working</w:t>
      </w:r>
    </w:p>
    <w:p>
      <w:pPr>
        <w:pStyle w:val="Heading1"/>
        <w:spacing w:after="150" w:before="300"/>
      </w:pPr>
      <w:r>
        <w:t xml:space="preserve">7. Conclusion</w:t>
      </w:r>
    </w:p>
    <w:p>
      <w:pPr>
        <w:spacing w:after="120"/>
      </w:pPr>
      <w:r>
        <w:t xml:space="preserve">This analysis shows that Olist's customer satisfaction problem is driven primarily by a narrow but severe issue: interstate shipping delays to specific states, especially RJ and BA. This is a solvable, targeted problem rather than a broad quality issue across sellers or products, which means a focused logistics intervention is likely to yield a measurable improvement in customer satisfaction without requiring changes across the entire seller base.</w:t>
      </w:r>
    </w:p>
    <w:p>
      <w:pPr>
        <w:pStyle w:val="Heading1"/>
        <w:spacing w:after="150" w:before="300"/>
      </w:pPr>
      <w:r>
        <w:t xml:space="preserve">Appendix: Data Sources</w:t>
      </w:r>
    </w:p>
    <w:p>
      <w:pPr>
        <w:spacing w:after="120"/>
      </w:pPr>
      <w:r>
        <w:t xml:space="preserve">Olist Brazilian E-Commerce Public Dataset (2016–2018), comprising: orders, order items, order payments, order reviews, customers, sellers, products, and product category translation tables.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2026-09-19T06:03:56.201Z</dcterms:created>
  <dcterms:modified xsi:type="dcterms:W3CDTF">2026-09-19T06:03:56.209Z</dcterms:modified>
</cp:coreProperties>
</file>

<file path=docProps/custom.xml><?xml version="1.0" encoding="utf-8"?>
<Properties xmlns="http://schemas.openxmlformats.org/officeDocument/2006/custom-properties" xmlns:vt="http://schemas.openxmlformats.org/officeDocument/2006/docPropsVTypes"/>
</file>