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color w:val="000000"/>
        </w:rPr>
        <w:t>Dodona Learning Path: Pedagogical &amp; Technical Overview</w:t>
      </w:r>
    </w:p>
    <w:p>
      <w:pPr>
        <w:pStyle w:val="Heading1"/>
      </w:pPr>
      <w:r>
        <w:rPr>
          <w:rFonts w:ascii="Times New Roman" w:hAnsi="Times New Roman"/>
          <w:color w:val="000000"/>
        </w:rPr>
        <w:t>1. Overview of Learning Goals and Student Needs</w:t>
      </w:r>
    </w:p>
    <w:p>
      <w:pPr>
        <w:pStyle w:val="Heading2"/>
      </w:pPr>
      <w:r>
        <w:rPr>
          <w:rFonts w:ascii="Times New Roman" w:hAnsi="Times New Roman"/>
          <w:color w:val="000000"/>
        </w:rPr>
        <w:t>Criminology Student Profile</w:t>
      </w:r>
    </w:p>
    <w:p>
      <w:r>
        <w:t>Criminology students typically come from a social science orientation with limited mathematical background. They approach statistics not as abstract mathematical concepts but as practical tools for understanding crime data and social phenomena. These students are often more interested in the application and interpretation of statistical methods within their field rather than theoretical mathematical foundations.</w:t>
      </w:r>
    </w:p>
    <w:p>
      <w:pPr>
        <w:pStyle w:val="Heading2"/>
      </w:pPr>
      <w:r>
        <w:rPr>
          <w:rFonts w:ascii="Times New Roman" w:hAnsi="Times New Roman"/>
          <w:color w:val="000000"/>
        </w:rPr>
        <w:t>Purpose of the Learning Path</w:t>
      </w:r>
    </w:p>
    <w:p>
      <w:r>
        <w:t>The primary purpose of this learning path is to support the development of statistical reasoning skills using crime-relevant examples and contexts. By embedding statistical concepts within criminological scenarios, the learning path aims to:</w:t>
      </w:r>
    </w:p>
    <w:p>
      <w:pPr>
        <w:pStyle w:val="ListBullet"/>
      </w:pPr>
      <w:r>
        <w:t>Make abstract statistical concepts more concrete and relevant</w:t>
      </w:r>
    </w:p>
    <w:p>
      <w:pPr>
        <w:pStyle w:val="ListBullet"/>
      </w:pPr>
      <w:r>
        <w:t>Demonstrate the practical utility of statistics in criminological research and practice</w:t>
      </w:r>
    </w:p>
    <w:p>
      <w:pPr>
        <w:pStyle w:val="ListBullet"/>
      </w:pPr>
      <w:r>
        <w:t>Build confidence in statistical reasoning through familiar contexts</w:t>
      </w:r>
    </w:p>
    <w:p>
      <w:pPr>
        <w:pStyle w:val="ListBullet"/>
      </w:pPr>
      <w:r>
        <w:t>Develop critical analytical skills needed for evidence-based criminology</w:t>
      </w:r>
    </w:p>
    <w:p>
      <w:pPr>
        <w:pStyle w:val="Heading1"/>
      </w:pPr>
      <w:r>
        <w:rPr>
          <w:rFonts w:ascii="Times New Roman" w:hAnsi="Times New Roman"/>
          <w:color w:val="000000"/>
        </w:rPr>
        <w:t>2. Bloom's Taxonomy Alignment</w:t>
      </w:r>
    </w:p>
    <w:p>
      <w:pPr>
        <w:pStyle w:val="Heading2"/>
      </w:pPr>
      <w:r>
        <w:rPr>
          <w:rFonts w:ascii="Times New Roman" w:hAnsi="Times New Roman"/>
          <w:color w:val="000000"/>
        </w:rPr>
        <w:t>Cognitive Levels</w:t>
      </w:r>
    </w:p>
    <w:p>
      <w:r>
        <w:t>Bloom's Taxonomy provides a hierarchical model of cognitive skills that progresses from lower-order to higher-order thinking skills:</w:t>
      </w:r>
    </w:p>
    <w:p>
      <w:pPr>
        <w:pStyle w:val="ListNumber"/>
      </w:pPr>
      <w:r>
        <w:t>Remember: Recall facts and basic concepts</w:t>
      </w:r>
    </w:p>
    <w:p>
      <w:r>
        <w:t>2. Understand: Explain ideas or concepts</w:t>
      </w:r>
    </w:p>
    <w:p>
      <w:r>
        <w:t>3. Apply: Use information in new situations</w:t>
      </w:r>
    </w:p>
    <w:p>
      <w:r>
        <w:t>4. Analyze: Draw connections among ideas</w:t>
      </w:r>
    </w:p>
    <w:p>
      <w:r>
        <w:t>5. Evaluate: Justify a stand or decision</w:t>
      </w:r>
    </w:p>
    <w:p>
      <w:r>
        <w:t>6. Create: Produce new or original work</w:t>
      </w:r>
    </w:p>
    <w:p>
      <w:pPr>
        <w:pStyle w:val="Heading2"/>
      </w:pPr>
      <w:r>
        <w:rPr>
          <w:rFonts w:ascii="Times New Roman" w:hAnsi="Times New Roman"/>
          <w:color w:val="000000"/>
        </w:rPr>
        <w:t>Application to Learning Process</w:t>
      </w:r>
    </w:p>
    <w:p>
      <w:r>
        <w:t>The integration of Bloom's Taxonomy into our questions strategically supports criminology students' learning process by:</w:t>
      </w:r>
    </w:p>
    <w:p>
      <w:pPr>
        <w:pStyle w:val="ListBullet"/>
      </w:pPr>
      <w:r>
        <w:t>Cognitive Progression: Building from recall to complex applications, boosting confidence and competence.</w:t>
      </w:r>
    </w:p>
    <w:p>
      <w:pPr>
        <w:pStyle w:val="ListBullet"/>
      </w:pPr>
      <w:r>
        <w:t>Transfer of Knowledge: Requiring practical application of concepts in criminological contexts.</w:t>
      </w:r>
    </w:p>
    <w:p>
      <w:pPr>
        <w:pStyle w:val="ListBullet"/>
      </w:pPr>
      <w:r>
        <w:t>Metacognitive Development: Encouraging reflection on thinking processes at higher levels.</w:t>
      </w:r>
    </w:p>
    <w:p>
      <w:pPr>
        <w:pStyle w:val="ListBullet"/>
      </w:pPr>
      <w:r>
        <w:t>Comprehensive Understanding: Ensuring engagement across all cognitive levels for a holistic grasp.</w:t>
      </w:r>
    </w:p>
    <w:p>
      <w:pPr>
        <w:pStyle w:val="Heading2"/>
      </w:pPr>
      <w:r>
        <w:rPr>
          <w:rFonts w:ascii="Times New Roman" w:hAnsi="Times New Roman"/>
          <w:color w:val="000000"/>
        </w:rPr>
        <w:t>Question-Bloom Level Mapping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Times New Roman" w:hAnsi="Times New Roman"/>
              </w:rPr>
              <w:t>Question Title</w:t>
            </w:r>
          </w:p>
        </w:tc>
        <w:tc>
          <w:tcPr>
            <w:tcW w:type="dxa" w:w="2160"/>
          </w:tcPr>
          <w:p>
            <w:r>
              <w:rPr>
                <w:rFonts w:ascii="Times New Roman" w:hAnsi="Times New Roman"/>
              </w:rPr>
              <w:t>Bloom Level</w:t>
            </w:r>
          </w:p>
        </w:tc>
        <w:tc>
          <w:tcPr>
            <w:tcW w:type="dxa" w:w="2160"/>
          </w:tcPr>
          <w:p>
            <w:r>
              <w:rPr>
                <w:rFonts w:ascii="Times New Roman" w:hAnsi="Times New Roman"/>
              </w:rPr>
              <w:t>Cognitive Skill</w:t>
            </w:r>
          </w:p>
        </w:tc>
        <w:tc>
          <w:tcPr>
            <w:tcW w:type="dxa" w:w="2160"/>
          </w:tcPr>
          <w:p>
            <w:r>
              <w:rPr>
                <w:rFonts w:ascii="Times New Roman" w:hAnsi="Times New Roman"/>
              </w:rPr>
              <w:t>Learning Intention</w:t>
            </w:r>
          </w:p>
        </w:tc>
      </w:tr>
      <w:tr>
        <w:tc>
          <w:tcPr>
            <w:tcW w:type="dxa" w:w="2160"/>
          </w:tcPr>
          <w:p>
            <w:r>
              <w:rPr>
                <w:rFonts w:ascii="Times New Roman" w:hAnsi="Times New Roman"/>
              </w:rPr>
              <w:t>Gemiddelde vs. Mediaan</w:t>
            </w:r>
          </w:p>
        </w:tc>
        <w:tc>
          <w:tcPr>
            <w:tcW w:type="dxa" w:w="2160"/>
          </w:tcPr>
          <w:p>
            <w:r>
              <w:rPr>
                <w:rFonts w:ascii="Times New Roman" w:hAnsi="Times New Roman"/>
              </w:rPr>
              <w:t>Understand</w:t>
            </w:r>
          </w:p>
        </w:tc>
        <w:tc>
          <w:tcPr>
            <w:tcW w:type="dxa" w:w="2160"/>
          </w:tcPr>
          <w:p>
            <w:r>
              <w:rPr>
                <w:rFonts w:ascii="Times New Roman" w:hAnsi="Times New Roman"/>
              </w:rPr>
              <w:t>Concept comparison</w:t>
            </w:r>
          </w:p>
        </w:tc>
        <w:tc>
          <w:tcPr>
            <w:tcW w:type="dxa" w:w="2160"/>
          </w:tcPr>
          <w:p>
            <w:r>
              <w:rPr>
                <w:rFonts w:ascii="Times New Roman" w:hAnsi="Times New Roman"/>
              </w:rPr>
              <w:t>Identify sensitivity to outliers in crime rate data</w:t>
            </w:r>
          </w:p>
        </w:tc>
      </w:tr>
      <w:tr>
        <w:tc>
          <w:tcPr>
            <w:tcW w:type="dxa" w:w="2160"/>
          </w:tcPr>
          <w:p>
            <w:r>
              <w:rPr>
                <w:rFonts w:ascii="Times New Roman" w:hAnsi="Times New Roman"/>
              </w:rPr>
              <w:t>Doel van Beschrijvende Statistiek</w:t>
            </w:r>
          </w:p>
        </w:tc>
        <w:tc>
          <w:tcPr>
            <w:tcW w:type="dxa" w:w="2160"/>
          </w:tcPr>
          <w:p>
            <w:r>
              <w:rPr>
                <w:rFonts w:ascii="Times New Roman" w:hAnsi="Times New Roman"/>
              </w:rPr>
              <w:t>Remember</w:t>
            </w:r>
          </w:p>
        </w:tc>
        <w:tc>
          <w:tcPr>
            <w:tcW w:type="dxa" w:w="2160"/>
          </w:tcPr>
          <w:p>
            <w:r>
              <w:rPr>
                <w:rFonts w:ascii="Times New Roman" w:hAnsi="Times New Roman"/>
              </w:rPr>
              <w:t>Recall</w:t>
            </w:r>
          </w:p>
        </w:tc>
        <w:tc>
          <w:tcPr>
            <w:tcW w:type="dxa" w:w="2160"/>
          </w:tcPr>
          <w:p>
            <w:r>
              <w:rPr>
                <w:rFonts w:ascii="Times New Roman" w:hAnsi="Times New Roman"/>
              </w:rPr>
              <w:t>Differentiate descriptive from inferential statistics</w:t>
            </w:r>
          </w:p>
        </w:tc>
      </w:tr>
      <w:tr>
        <w:tc>
          <w:tcPr>
            <w:tcW w:type="dxa" w:w="2160"/>
          </w:tcPr>
          <w:p>
            <w:r>
              <w:rPr>
                <w:rFonts w:ascii="Times New Roman" w:hAnsi="Times New Roman"/>
              </w:rPr>
              <w:t>Berekenen van Modus</w:t>
            </w:r>
          </w:p>
        </w:tc>
        <w:tc>
          <w:tcPr>
            <w:tcW w:type="dxa" w:w="2160"/>
          </w:tcPr>
          <w:p>
            <w:r>
              <w:rPr>
                <w:rFonts w:ascii="Times New Roman" w:hAnsi="Times New Roman"/>
              </w:rPr>
              <w:t>Apply</w:t>
            </w:r>
          </w:p>
        </w:tc>
        <w:tc>
          <w:tcPr>
            <w:tcW w:type="dxa" w:w="2160"/>
          </w:tcPr>
          <w:p>
            <w:r>
              <w:rPr>
                <w:rFonts w:ascii="Times New Roman" w:hAnsi="Times New Roman"/>
              </w:rPr>
              <w:t>Calculation</w:t>
            </w:r>
          </w:p>
        </w:tc>
        <w:tc>
          <w:tcPr>
            <w:tcW w:type="dxa" w:w="2160"/>
          </w:tcPr>
          <w:p>
            <w:r>
              <w:rPr>
                <w:rFonts w:ascii="Times New Roman" w:hAnsi="Times New Roman"/>
              </w:rPr>
              <w:t>Calculate mode from crime type frequencies</w:t>
            </w:r>
          </w:p>
        </w:tc>
      </w:tr>
      <w:tr>
        <w:tc>
          <w:tcPr>
            <w:tcW w:type="dxa" w:w="2160"/>
          </w:tcPr>
          <w:p>
            <w:r>
              <w:rPr>
                <w:rFonts w:ascii="Times New Roman" w:hAnsi="Times New Roman"/>
              </w:rPr>
              <w:t>Chi-kwadraat Interpretatie</w:t>
            </w:r>
          </w:p>
        </w:tc>
        <w:tc>
          <w:tcPr>
            <w:tcW w:type="dxa" w:w="2160"/>
          </w:tcPr>
          <w:p>
            <w:r>
              <w:rPr>
                <w:rFonts w:ascii="Times New Roman" w:hAnsi="Times New Roman"/>
              </w:rPr>
              <w:t>Analyze</w:t>
            </w:r>
          </w:p>
        </w:tc>
        <w:tc>
          <w:tcPr>
            <w:tcW w:type="dxa" w:w="2160"/>
          </w:tcPr>
          <w:p>
            <w:r>
              <w:rPr>
                <w:rFonts w:ascii="Times New Roman" w:hAnsi="Times New Roman"/>
              </w:rPr>
              <w:t>Interpretation</w:t>
            </w:r>
          </w:p>
        </w:tc>
        <w:tc>
          <w:tcPr>
            <w:tcW w:type="dxa" w:w="2160"/>
          </w:tcPr>
          <w:p>
            <w:r>
              <w:rPr>
                <w:rFonts w:ascii="Times New Roman" w:hAnsi="Times New Roman"/>
              </w:rPr>
              <w:t>Interpret chi-square results in demographic contexts</w:t>
            </w:r>
          </w:p>
        </w:tc>
      </w:tr>
      <w:tr>
        <w:tc>
          <w:tcPr>
            <w:tcW w:type="dxa" w:w="2160"/>
          </w:tcPr>
          <w:p>
            <w:r>
              <w:rPr>
                <w:rFonts w:ascii="Times New Roman" w:hAnsi="Times New Roman"/>
              </w:rPr>
              <w:t>Uitschieters Identificeren</w:t>
            </w:r>
          </w:p>
        </w:tc>
        <w:tc>
          <w:tcPr>
            <w:tcW w:type="dxa" w:w="2160"/>
          </w:tcPr>
          <w:p>
            <w:r>
              <w:rPr>
                <w:rFonts w:ascii="Times New Roman" w:hAnsi="Times New Roman"/>
              </w:rPr>
              <w:t>Apply</w:t>
            </w:r>
          </w:p>
        </w:tc>
        <w:tc>
          <w:tcPr>
            <w:tcW w:type="dxa" w:w="2160"/>
          </w:tcPr>
          <w:p>
            <w:r>
              <w:rPr>
                <w:rFonts w:ascii="Times New Roman" w:hAnsi="Times New Roman"/>
              </w:rPr>
              <w:t>Data analysis</w:t>
            </w:r>
          </w:p>
        </w:tc>
        <w:tc>
          <w:tcPr>
            <w:tcW w:type="dxa" w:w="2160"/>
          </w:tcPr>
          <w:p>
            <w:r>
              <w:rPr>
                <w:rFonts w:ascii="Times New Roman" w:hAnsi="Times New Roman"/>
              </w:rPr>
              <w:t>Identify outliers in crime rate datasets</w:t>
            </w:r>
          </w:p>
        </w:tc>
      </w:tr>
      <w:tr>
        <w:tc>
          <w:tcPr>
            <w:tcW w:type="dxa" w:w="2160"/>
          </w:tcPr>
          <w:p>
            <w:r>
              <w:rPr>
                <w:rFonts w:ascii="Times New Roman" w:hAnsi="Times New Roman"/>
              </w:rPr>
              <w:t>Standaarddeviatie Vergelijking</w:t>
            </w:r>
          </w:p>
        </w:tc>
        <w:tc>
          <w:tcPr>
            <w:tcW w:type="dxa" w:w="2160"/>
          </w:tcPr>
          <w:p>
            <w:r>
              <w:rPr>
                <w:rFonts w:ascii="Times New Roman" w:hAnsi="Times New Roman"/>
              </w:rPr>
              <w:t>Understand</w:t>
            </w:r>
          </w:p>
        </w:tc>
        <w:tc>
          <w:tcPr>
            <w:tcW w:type="dxa" w:w="2160"/>
          </w:tcPr>
          <w:p>
            <w:r>
              <w:rPr>
                <w:rFonts w:ascii="Times New Roman" w:hAnsi="Times New Roman"/>
              </w:rPr>
              <w:t>Concept application</w:t>
            </w:r>
          </w:p>
        </w:tc>
        <w:tc>
          <w:tcPr>
            <w:tcW w:type="dxa" w:w="2160"/>
          </w:tcPr>
          <w:p>
            <w:r>
              <w:rPr>
                <w:rFonts w:ascii="Times New Roman" w:hAnsi="Times New Roman"/>
              </w:rPr>
              <w:t>Compare variability in crime metrics</w:t>
            </w:r>
          </w:p>
        </w:tc>
      </w:tr>
      <w:tr>
        <w:tc>
          <w:tcPr>
            <w:tcW w:type="dxa" w:w="2160"/>
          </w:tcPr>
          <w:p>
            <w:r>
              <w:rPr>
                <w:rFonts w:ascii="Times New Roman" w:hAnsi="Times New Roman"/>
              </w:rPr>
              <w:t>Correlatie vs. Causaliteit</w:t>
            </w:r>
          </w:p>
        </w:tc>
        <w:tc>
          <w:tcPr>
            <w:tcW w:type="dxa" w:w="2160"/>
          </w:tcPr>
          <w:p>
            <w:r>
              <w:rPr>
                <w:rFonts w:ascii="Times New Roman" w:hAnsi="Times New Roman"/>
              </w:rPr>
              <w:t>Evaluate</w:t>
            </w:r>
          </w:p>
        </w:tc>
        <w:tc>
          <w:tcPr>
            <w:tcW w:type="dxa" w:w="2160"/>
          </w:tcPr>
          <w:p>
            <w:r>
              <w:rPr>
                <w:rFonts w:ascii="Times New Roman" w:hAnsi="Times New Roman"/>
              </w:rPr>
              <w:t>Critical thinking</w:t>
            </w:r>
          </w:p>
        </w:tc>
        <w:tc>
          <w:tcPr>
            <w:tcW w:type="dxa" w:w="2160"/>
          </w:tcPr>
          <w:p>
            <w:r>
              <w:rPr>
                <w:rFonts w:ascii="Times New Roman" w:hAnsi="Times New Roman"/>
              </w:rPr>
              <w:t>Evaluate claims of variable relationships</w:t>
            </w:r>
          </w:p>
        </w:tc>
      </w:tr>
      <w:tr>
        <w:tc>
          <w:tcPr>
            <w:tcW w:type="dxa" w:w="2160"/>
          </w:tcPr>
          <w:p>
            <w:r>
              <w:rPr>
                <w:rFonts w:ascii="Times New Roman" w:hAnsi="Times New Roman"/>
              </w:rPr>
              <w:t>Regressieanalyse Interpretatie</w:t>
            </w:r>
          </w:p>
        </w:tc>
        <w:tc>
          <w:tcPr>
            <w:tcW w:type="dxa" w:w="2160"/>
          </w:tcPr>
          <w:p>
            <w:r>
              <w:rPr>
                <w:rFonts w:ascii="Times New Roman" w:hAnsi="Times New Roman"/>
              </w:rPr>
              <w:t>Analyze</w:t>
            </w:r>
          </w:p>
        </w:tc>
        <w:tc>
          <w:tcPr>
            <w:tcW w:type="dxa" w:w="2160"/>
          </w:tcPr>
          <w:p>
            <w:r>
              <w:rPr>
                <w:rFonts w:ascii="Times New Roman" w:hAnsi="Times New Roman"/>
              </w:rPr>
              <w:t>Interpretation</w:t>
            </w:r>
          </w:p>
        </w:tc>
        <w:tc>
          <w:tcPr>
            <w:tcW w:type="dxa" w:w="2160"/>
          </w:tcPr>
          <w:p>
            <w:r>
              <w:rPr>
                <w:rFonts w:ascii="Times New Roman" w:hAnsi="Times New Roman"/>
              </w:rPr>
              <w:t>Interpret regression coefficients in context</w:t>
            </w:r>
          </w:p>
        </w:tc>
      </w:tr>
      <w:tr>
        <w:tc>
          <w:tcPr>
            <w:tcW w:type="dxa" w:w="2160"/>
          </w:tcPr>
          <w:p>
            <w:r>
              <w:rPr>
                <w:rFonts w:ascii="Times New Roman" w:hAnsi="Times New Roman"/>
              </w:rPr>
              <w:t>Steekproef Representativiteit</w:t>
            </w:r>
          </w:p>
        </w:tc>
        <w:tc>
          <w:tcPr>
            <w:tcW w:type="dxa" w:w="2160"/>
          </w:tcPr>
          <w:p>
            <w:r>
              <w:rPr>
                <w:rFonts w:ascii="Times New Roman" w:hAnsi="Times New Roman"/>
              </w:rPr>
              <w:t>Evaluate</w:t>
            </w:r>
          </w:p>
        </w:tc>
        <w:tc>
          <w:tcPr>
            <w:tcW w:type="dxa" w:w="2160"/>
          </w:tcPr>
          <w:p>
            <w:r>
              <w:rPr>
                <w:rFonts w:ascii="Times New Roman" w:hAnsi="Times New Roman"/>
              </w:rPr>
              <w:t>Assessment</w:t>
            </w:r>
          </w:p>
        </w:tc>
        <w:tc>
          <w:tcPr>
            <w:tcW w:type="dxa" w:w="2160"/>
          </w:tcPr>
          <w:p>
            <w:r>
              <w:rPr>
                <w:rFonts w:ascii="Times New Roman" w:hAnsi="Times New Roman"/>
              </w:rPr>
              <w:t>Assess sampling biases</w:t>
            </w:r>
          </w:p>
        </w:tc>
      </w:tr>
      <w:tr>
        <w:tc>
          <w:tcPr>
            <w:tcW w:type="dxa" w:w="2160"/>
          </w:tcPr>
          <w:p>
            <w:r>
              <w:rPr>
                <w:rFonts w:ascii="Times New Roman" w:hAnsi="Times New Roman"/>
              </w:rPr>
              <w:t>Betrouwbaarheidsintervallen</w:t>
            </w:r>
          </w:p>
        </w:tc>
        <w:tc>
          <w:tcPr>
            <w:tcW w:type="dxa" w:w="2160"/>
          </w:tcPr>
          <w:p>
            <w:r>
              <w:rPr>
                <w:rFonts w:ascii="Times New Roman" w:hAnsi="Times New Roman"/>
              </w:rPr>
              <w:t>Apply</w:t>
            </w:r>
          </w:p>
        </w:tc>
        <w:tc>
          <w:tcPr>
            <w:tcW w:type="dxa" w:w="2160"/>
          </w:tcPr>
          <w:p>
            <w:r>
              <w:rPr>
                <w:rFonts w:ascii="Times New Roman" w:hAnsi="Times New Roman"/>
              </w:rPr>
              <w:t>Calculation</w:t>
            </w:r>
          </w:p>
        </w:tc>
        <w:tc>
          <w:tcPr>
            <w:tcW w:type="dxa" w:w="2160"/>
          </w:tcPr>
          <w:p>
            <w:r>
              <w:rPr>
                <w:rFonts w:ascii="Times New Roman" w:hAnsi="Times New Roman"/>
              </w:rPr>
              <w:t>Calculate and interpret confidence intervals</w:t>
            </w:r>
          </w:p>
        </w:tc>
      </w:tr>
      <w:tr>
        <w:tc>
          <w:tcPr>
            <w:tcW w:type="dxa" w:w="2160"/>
          </w:tcPr>
          <w:p>
            <w:r>
              <w:rPr>
                <w:rFonts w:ascii="Times New Roman" w:hAnsi="Times New Roman"/>
              </w:rPr>
              <w:t>p-Waarde Interpretatie</w:t>
            </w:r>
          </w:p>
        </w:tc>
        <w:tc>
          <w:tcPr>
            <w:tcW w:type="dxa" w:w="2160"/>
          </w:tcPr>
          <w:p>
            <w:r>
              <w:rPr>
                <w:rFonts w:ascii="Times New Roman" w:hAnsi="Times New Roman"/>
              </w:rPr>
              <w:t>Understand</w:t>
            </w:r>
          </w:p>
        </w:tc>
        <w:tc>
          <w:tcPr>
            <w:tcW w:type="dxa" w:w="2160"/>
          </w:tcPr>
          <w:p>
            <w:r>
              <w:rPr>
                <w:rFonts w:ascii="Times New Roman" w:hAnsi="Times New Roman"/>
              </w:rPr>
              <w:t>Concept application</w:t>
            </w:r>
          </w:p>
        </w:tc>
        <w:tc>
          <w:tcPr>
            <w:tcW w:type="dxa" w:w="2160"/>
          </w:tcPr>
          <w:p>
            <w:r>
              <w:rPr>
                <w:rFonts w:ascii="Times New Roman" w:hAnsi="Times New Roman"/>
              </w:rPr>
              <w:t>Explain p-values in hypothesis testing</w:t>
            </w:r>
          </w:p>
        </w:tc>
      </w:tr>
      <w:tr>
        <w:tc>
          <w:tcPr>
            <w:tcW w:type="dxa" w:w="2160"/>
          </w:tcPr>
          <w:p>
            <w:r>
              <w:rPr>
                <w:rFonts w:ascii="Times New Roman" w:hAnsi="Times New Roman"/>
              </w:rPr>
              <w:t>Scheve Verdeling Herkennen</w:t>
            </w:r>
          </w:p>
        </w:tc>
        <w:tc>
          <w:tcPr>
            <w:tcW w:type="dxa" w:w="2160"/>
          </w:tcPr>
          <w:p>
            <w:r>
              <w:rPr>
                <w:rFonts w:ascii="Times New Roman" w:hAnsi="Times New Roman"/>
              </w:rPr>
              <w:t>Analyze</w:t>
            </w:r>
          </w:p>
        </w:tc>
        <w:tc>
          <w:tcPr>
            <w:tcW w:type="dxa" w:w="2160"/>
          </w:tcPr>
          <w:p>
            <w:r>
              <w:rPr>
                <w:rFonts w:ascii="Times New Roman" w:hAnsi="Times New Roman"/>
              </w:rPr>
              <w:t>Pattern recognition</w:t>
            </w:r>
          </w:p>
        </w:tc>
        <w:tc>
          <w:tcPr>
            <w:tcW w:type="dxa" w:w="2160"/>
          </w:tcPr>
          <w:p>
            <w:r>
              <w:rPr>
                <w:rFonts w:ascii="Times New Roman" w:hAnsi="Times New Roman"/>
              </w:rPr>
              <w:t>Identify skewed distributions</w:t>
            </w:r>
          </w:p>
        </w:tc>
      </w:tr>
      <w:tr>
        <w:tc>
          <w:tcPr>
            <w:tcW w:type="dxa" w:w="2160"/>
          </w:tcPr>
          <w:p>
            <w:r>
              <w:rPr>
                <w:rFonts w:ascii="Times New Roman" w:hAnsi="Times New Roman"/>
              </w:rPr>
              <w:t>Type I en Type II Fouten</w:t>
            </w:r>
          </w:p>
        </w:tc>
        <w:tc>
          <w:tcPr>
            <w:tcW w:type="dxa" w:w="2160"/>
          </w:tcPr>
          <w:p>
            <w:r>
              <w:rPr>
                <w:rFonts w:ascii="Times New Roman" w:hAnsi="Times New Roman"/>
              </w:rPr>
              <w:t>Evaluate</w:t>
            </w:r>
          </w:p>
        </w:tc>
        <w:tc>
          <w:tcPr>
            <w:tcW w:type="dxa" w:w="2160"/>
          </w:tcPr>
          <w:p>
            <w:r>
              <w:rPr>
                <w:rFonts w:ascii="Times New Roman" w:hAnsi="Times New Roman"/>
              </w:rPr>
              <w:t>Critical assessment</w:t>
            </w:r>
          </w:p>
        </w:tc>
        <w:tc>
          <w:tcPr>
            <w:tcW w:type="dxa" w:w="2160"/>
          </w:tcPr>
          <w:p>
            <w:r>
              <w:rPr>
                <w:rFonts w:ascii="Times New Roman" w:hAnsi="Times New Roman"/>
              </w:rPr>
              <w:t>Evaluate consequences of statistical errors</w:t>
            </w:r>
          </w:p>
        </w:tc>
      </w:tr>
      <w:tr>
        <w:tc>
          <w:tcPr>
            <w:tcW w:type="dxa" w:w="2160"/>
          </w:tcPr>
          <w:p>
            <w:r>
              <w:rPr>
                <w:rFonts w:ascii="Times New Roman" w:hAnsi="Times New Roman"/>
              </w:rPr>
              <w:t>Effectgrootte Berekening</w:t>
            </w:r>
          </w:p>
        </w:tc>
        <w:tc>
          <w:tcPr>
            <w:tcW w:type="dxa" w:w="2160"/>
          </w:tcPr>
          <w:p>
            <w:r>
              <w:rPr>
                <w:rFonts w:ascii="Times New Roman" w:hAnsi="Times New Roman"/>
              </w:rPr>
              <w:t>Apply</w:t>
            </w:r>
          </w:p>
        </w:tc>
        <w:tc>
          <w:tcPr>
            <w:tcW w:type="dxa" w:w="2160"/>
          </w:tcPr>
          <w:p>
            <w:r>
              <w:rPr>
                <w:rFonts w:ascii="Times New Roman" w:hAnsi="Times New Roman"/>
              </w:rPr>
              <w:t>Calculation</w:t>
            </w:r>
          </w:p>
        </w:tc>
        <w:tc>
          <w:tcPr>
            <w:tcW w:type="dxa" w:w="2160"/>
          </w:tcPr>
          <w:p>
            <w:r>
              <w:rPr>
                <w:rFonts w:ascii="Times New Roman" w:hAnsi="Times New Roman"/>
              </w:rPr>
              <w:t>Calculate effect sizes</w:t>
            </w:r>
          </w:p>
        </w:tc>
      </w:tr>
      <w:tr>
        <w:tc>
          <w:tcPr>
            <w:tcW w:type="dxa" w:w="2160"/>
          </w:tcPr>
          <w:p>
            <w:r>
              <w:rPr>
                <w:rFonts w:ascii="Times New Roman" w:hAnsi="Times New Roman"/>
              </w:rPr>
              <w:t>Grafische Weergave Kiezen</w:t>
            </w:r>
          </w:p>
        </w:tc>
        <w:tc>
          <w:tcPr>
            <w:tcW w:type="dxa" w:w="2160"/>
          </w:tcPr>
          <w:p>
            <w:r>
              <w:rPr>
                <w:rFonts w:ascii="Times New Roman" w:hAnsi="Times New Roman"/>
              </w:rPr>
              <w:t>Create</w:t>
            </w:r>
          </w:p>
        </w:tc>
        <w:tc>
          <w:tcPr>
            <w:tcW w:type="dxa" w:w="2160"/>
          </w:tcPr>
          <w:p>
            <w:r>
              <w:rPr>
                <w:rFonts w:ascii="Times New Roman" w:hAnsi="Times New Roman"/>
              </w:rPr>
              <w:t>Decision making</w:t>
            </w:r>
          </w:p>
        </w:tc>
        <w:tc>
          <w:tcPr>
            <w:tcW w:type="dxa" w:w="2160"/>
          </w:tcPr>
          <w:p>
            <w:r>
              <w:rPr>
                <w:rFonts w:ascii="Times New Roman" w:hAnsi="Times New Roman"/>
              </w:rPr>
              <w:t>Choose appropriate data visualizations</w:t>
            </w:r>
          </w:p>
        </w:tc>
      </w:tr>
    </w:tbl>
    <w:p>
      <w:pPr>
        <w:pStyle w:val="Heading1"/>
      </w:pPr>
      <w:r>
        <w:rPr>
          <w:rFonts w:ascii="Times New Roman" w:hAnsi="Times New Roman"/>
          <w:color w:val="000000"/>
        </w:rPr>
        <w:t>3. Scaffolding Techniques &amp; Bloom's Alignment</w:t>
      </w:r>
    </w:p>
    <w:p>
      <w:pPr>
        <w:pStyle w:val="Heading2"/>
      </w:pPr>
      <w:r>
        <w:rPr>
          <w:rFonts w:ascii="Times New Roman" w:hAnsi="Times New Roman"/>
          <w:color w:val="000000"/>
        </w:rPr>
        <w:t>Instructional Design Strategy</w:t>
      </w:r>
    </w:p>
    <w:p>
      <w:r>
        <w:t>The learning path is structured using Bloom's Taxonomy as a cognitive scaffold, progressing from basic understanding to higher-order skills like evaluation and creation.</w:t>
      </w:r>
    </w:p>
    <w:p>
      <w:r>
        <w:t>This layered design includes:</w:t>
      </w:r>
    </w:p>
    <w:p>
      <w:pPr>
        <w:pStyle w:val="ListBullet"/>
      </w:pPr>
      <w:r>
        <w:t>Concept Reinforcement: e.g., mean vs. median</w:t>
      </w:r>
    </w:p>
    <w:p>
      <w:pPr>
        <w:pStyle w:val="ListBullet"/>
      </w:pPr>
      <w:r>
        <w:t>Calculation Tasks: e.g., chi-square, regression</w:t>
      </w:r>
    </w:p>
    <w:p>
      <w:pPr>
        <w:pStyle w:val="ListBullet"/>
      </w:pPr>
      <w:r>
        <w:t>Diagnostic Reasoning: e.g., outlier influence, correlation vs. causality</w:t>
      </w:r>
    </w:p>
    <w:p>
      <w:pPr>
        <w:pStyle w:val="ListBullet"/>
      </w:pPr>
      <w:r>
        <w:t>Design/Decision-making: e.g., choosing visuals, constructing surveys</w:t>
      </w:r>
    </w:p>
    <w:p>
      <w:pPr>
        <w:pStyle w:val="Heading2"/>
      </w:pPr>
      <w:r>
        <w:rPr>
          <w:rFonts w:ascii="Times New Roman" w:hAnsi="Times New Roman"/>
          <w:color w:val="000000"/>
        </w:rPr>
        <w:t>Scaffolding Techniques</w:t>
      </w:r>
    </w:p>
    <w:p>
      <w:pPr>
        <w:pStyle w:val="ListBullet"/>
      </w:pPr>
      <w:r>
        <w:t>Conceptual Prompts: Short reminders of key ideas without revealing the answer</w:t>
      </w:r>
    </w:p>
    <w:p>
      <w:pPr>
        <w:pStyle w:val="ListBullet"/>
      </w:pPr>
      <w:r>
        <w:t>Strategic Questions: Sub-questions that guide thinking</w:t>
      </w:r>
    </w:p>
    <w:p>
      <w:pPr>
        <w:pStyle w:val="ListBullet"/>
      </w:pPr>
      <w:r>
        <w:t>Relevant Examples: Analogous situations to model thinking</w:t>
      </w:r>
    </w:p>
    <w:p>
      <w:pPr>
        <w:pStyle w:val="ListBullet"/>
      </w:pPr>
      <w:r>
        <w:t>Progressive Disclosure: Stepwise reveal of complexity</w:t>
      </w:r>
    </w:p>
    <w:p>
      <w:pPr>
        <w:pStyle w:val="Heading2"/>
      </w:pPr>
      <w:r>
        <w:rPr>
          <w:rFonts w:ascii="Times New Roman" w:hAnsi="Times New Roman"/>
          <w:color w:val="000000"/>
        </w:rPr>
        <w:t>Example Tips (Dutch)</w:t>
      </w:r>
    </w:p>
    <w:p>
      <w:pPr>
        <w:pStyle w:val="ListBullet"/>
      </w:pPr>
      <w:r>
        <w:t>"Het gemiddelde is gevoelig voor uitschieters..."</w:t>
      </w:r>
    </w:p>
    <w:p>
      <w:pPr>
        <w:pStyle w:val="ListBullet"/>
      </w:pPr>
      <w:r>
        <w:t>"Let op: bij een chi-kwadraattoets..."</w:t>
      </w:r>
    </w:p>
    <w:p>
      <w:pPr>
        <w:pStyle w:val="ListBullet"/>
      </w:pPr>
      <w:r>
        <w:t>"Denk aan de formule voor variantie..."</w:t>
      </w:r>
    </w:p>
    <w:p>
      <w:pPr>
        <w:pStyle w:val="ListBullet"/>
      </w:pPr>
      <w:r>
        <w:t>"Een correlatie van 0,7 betekent..."</w:t>
      </w:r>
    </w:p>
    <w:p>
      <w:pPr>
        <w:pStyle w:val="Heading2"/>
      </w:pPr>
      <w:r>
        <w:rPr>
          <w:rFonts w:ascii="Times New Roman" w:hAnsi="Times New Roman"/>
          <w:color w:val="000000"/>
        </w:rPr>
        <w:t>Targeted Feedback</w:t>
      </w:r>
    </w:p>
    <w:p>
      <w:pPr>
        <w:pStyle w:val="ListBullet"/>
      </w:pPr>
      <w:r>
        <w:t>Correct Answers: Confirm logic, extend concepts, connect to real-world application</w:t>
      </w:r>
    </w:p>
    <w:p>
      <w:pPr>
        <w:pStyle w:val="ListBullet"/>
      </w:pPr>
      <w:r>
        <w:t>Incorrect Answers: Clarify misconceptions, explain concepts, and encourage reflection</w:t>
      </w:r>
    </w:p>
    <w:p>
      <w:pPr>
        <w:pStyle w:val="Heading2"/>
      </w:pPr>
      <w:r>
        <w:rPr>
          <w:rFonts w:ascii="Times New Roman" w:hAnsi="Times New Roman"/>
          <w:color w:val="000000"/>
        </w:rPr>
        <w:t>Metacognitive Reflection Examples</w:t>
      </w:r>
    </w:p>
    <w:p>
      <w:pPr>
        <w:pStyle w:val="ListBullet"/>
      </w:pPr>
      <w:r>
        <w:t>"Fout – dit is inferentiële of voorspellende statistiek..."</w:t>
      </w:r>
    </w:p>
    <w:p>
      <w:pPr>
        <w:pStyle w:val="ListBullet"/>
      </w:pPr>
      <w:r>
        <w:t>"Je hebt het gemiddelde goed berekend, maar..."</w:t>
      </w:r>
    </w:p>
    <w:p>
      <w:pPr>
        <w:pStyle w:val="ListBullet"/>
      </w:pPr>
      <w:r>
        <w:t>"Let op: je hebt de nulhypothese verworpen, maar..."</w:t>
      </w:r>
    </w:p>
    <w:p>
      <w:pPr>
        <w:pStyle w:val="Heading2"/>
      </w:pPr>
      <w:r>
        <w:rPr>
          <w:rFonts w:ascii="Times New Roman" w:hAnsi="Times New Roman"/>
          <w:color w:val="000000"/>
        </w:rPr>
        <w:t>External Resources</w:t>
      </w:r>
    </w:p>
    <w:p>
      <w:r>
        <w:t>Links to textbook chapters, videos, or slides are added to help students review concepts and fill gaps.</w:t>
      </w:r>
    </w:p>
    <w:p>
      <w:pPr>
        <w:pStyle w:val="Heading1"/>
      </w:pPr>
      <w:r>
        <w:rPr>
          <w:rFonts w:ascii="Times New Roman" w:hAnsi="Times New Roman"/>
          <w:color w:val="000000"/>
        </w:rPr>
        <w:t>4. Example Question Elements</w:t>
      </w:r>
    </w:p>
    <w:p>
      <w:pPr>
        <w:pStyle w:val="Heading2"/>
      </w:pPr>
      <w:r>
        <w:rPr>
          <w:rFonts w:ascii="Times New Roman" w:hAnsi="Times New Roman"/>
          <w:color w:val="000000"/>
        </w:rPr>
        <w:t>Sample Question</w:t>
      </w:r>
    </w:p>
    <w:p>
      <w:pPr>
        <w:pStyle w:val="ListBullet"/>
      </w:pPr>
      <w:r>
        <w:t>Title: Invloed van Uitschieters op Centrummaten</w:t>
      </w:r>
    </w:p>
    <w:p>
      <w:pPr>
        <w:pStyle w:val="ListBullet"/>
      </w:pPr>
      <w:r>
        <w:t>Context: Inbraakcijfers in 10 wijken: [5, 7, 6, 8, 5, 9, 6, 7, 40, 7]</w:t>
      </w:r>
    </w:p>
    <w:p>
      <w:pPr>
        <w:pStyle w:val="ListBullet"/>
      </w:pPr>
      <w:r>
        <w:t>Question: Welke uitspraak is correct?</w:t>
      </w:r>
    </w:p>
    <w:p>
      <w:pPr>
        <w:pStyle w:val="ListBullet"/>
      </w:pPr>
      <w:r>
        <w:t>A) De mediaan geeft een beter beeld...</w:t>
      </w:r>
    </w:p>
    <w:p>
      <w:pPr>
        <w:pStyle w:val="ListBullet"/>
      </w:pPr>
      <w:r>
        <w:t>B) Het gemiddelde geeft een beter beeld...</w:t>
      </w:r>
    </w:p>
    <w:p>
      <w:pPr>
        <w:pStyle w:val="ListBullet"/>
      </w:pPr>
      <w:r>
        <w:t>C) Beide zijn even representatief</w:t>
      </w:r>
    </w:p>
    <w:p>
      <w:pPr>
        <w:pStyle w:val="ListBullet"/>
      </w:pPr>
      <w:r>
        <w:t>D) Geen van beide is geschikt</w:t>
      </w:r>
    </w:p>
    <w:p>
      <w:pPr>
        <w:pStyle w:val="Heading2"/>
      </w:pPr>
      <w:r>
        <w:rPr>
          <w:rFonts w:ascii="Times New Roman" w:hAnsi="Times New Roman"/>
          <w:color w:val="000000"/>
        </w:rPr>
        <w:t>Feedback Logic</w:t>
      </w:r>
    </w:p>
    <w:p>
      <w:pPr>
        <w:pStyle w:val="ListBullet"/>
      </w:pPr>
      <w:r>
        <w:t>Correct (A): De mediaan wordt minder beïnvloed...</w:t>
      </w:r>
    </w:p>
    <w:p>
      <w:pPr>
        <w:pStyle w:val="ListBullet"/>
      </w:pPr>
      <w:r>
        <w:t>Incorrect (B): Het gemiddelde wordt sterk beïnvloed...</w:t>
      </w:r>
    </w:p>
    <w:p>
      <w:pPr>
        <w:pStyle w:val="ListBullet"/>
      </w:pPr>
      <w:r>
        <w:t>Incorrect (C): Bij uitschieters zijn ze niet gelijkwaardig...</w:t>
      </w:r>
    </w:p>
    <w:p>
      <w:pPr>
        <w:pStyle w:val="ListBullet"/>
      </w:pPr>
      <w:r>
        <w:t>Incorrect (D): De mediaan blijft bruikbaar ondanks uitschieters</w:t>
      </w:r>
    </w:p>
    <w:p>
      <w:pPr>
        <w:pStyle w:val="Heading2"/>
      </w:pPr>
      <w:r>
        <w:rPr>
          <w:rFonts w:ascii="Times New Roman" w:hAnsi="Times New Roman"/>
          <w:color w:val="000000"/>
        </w:rPr>
        <w:t>Hints and Visual Aids</w:t>
      </w:r>
    </w:p>
    <w:p>
      <w:pPr>
        <w:pStyle w:val="ListBullet"/>
      </w:pPr>
      <w:r>
        <w:t>Hint: "Bereken zowel het gemiddelde als de mediaan"</w:t>
      </w:r>
    </w:p>
    <w:p>
      <w:pPr>
        <w:pStyle w:val="ListBullet"/>
      </w:pPr>
      <w:r>
        <w:t>Hint: "Visualiseer de data met een boxplot"</w:t>
      </w:r>
    </w:p>
    <w:p>
      <w:pPr>
        <w:pStyle w:val="ListBullet"/>
      </w:pPr>
      <w:r>
        <w:t>Visual: Boxplot with outlier marked at 40</w:t>
      </w:r>
    </w:p>
    <w:p>
      <w:pPr>
        <w:pStyle w:val="Title"/>
      </w:pPr>
      <w:r>
        <w:rPr>
          <w:rFonts w:ascii="Times New Roman" w:hAnsi="Times New Roman"/>
          <w:color w:val="000000"/>
        </w:rPr>
        <w:t>Annotated Screenshots</w:t>
      </w:r>
    </w:p>
    <w:p>
      <w:r>
        <w:t>This visual overview provides selected exercises from the Dodona learning path for criminology students. Each section includes the screenshot, its content description, and relevant pedagogical context (Bloom's Taxonomy level, feedback logic, scaffolding, etc.).</w:t>
      </w:r>
    </w:p>
    <w:p>
      <w:pPr>
        <w:pStyle w:val="Heading1"/>
      </w:pPr>
      <w:r>
        <w:rPr>
          <w:rFonts w:ascii="Times New Roman" w:hAnsi="Times New Roman"/>
          <w:color w:val="000000"/>
        </w:rPr>
        <w:t>1. Series Overview – Part 1</w:t>
      </w:r>
    </w:p>
    <w:p>
      <w:pPr>
        <w:jc w:val="center"/>
      </w:pPr>
    </w:p>
    <w:p>
      <w:r>
        <w:drawing>
          <wp:inline xmlns:a="http://schemas.openxmlformats.org/drawingml/2006/main" xmlns:pic="http://schemas.openxmlformats.org/drawingml/2006/picture">
            <wp:extent cx="5486400" cy="1138428"/>
            <wp:docPr id="1" name="Picture 1"/>
            <wp:cNvGraphicFramePr>
              <a:graphicFrameLocks noChangeAspect="1"/>
            </wp:cNvGraphicFramePr>
            <a:graphic>
              <a:graphicData uri="http://schemas.openxmlformats.org/drawingml/2006/picture">
                <pic:pic>
                  <pic:nvPicPr>
                    <pic:cNvPr id="0" name="dodona-series-overview-1.png"/>
                    <pic:cNvPicPr/>
                  </pic:nvPicPr>
                  <pic:blipFill>
                    <a:blip r:embed="rId9"/>
                    <a:stretch>
                      <a:fillRect/>
                    </a:stretch>
                  </pic:blipFill>
                  <pic:spPr>
                    <a:xfrm>
                      <a:off x="0" y="0"/>
                      <a:ext cx="5486400" cy="1138428"/>
                    </a:xfrm>
                    <a:prstGeom prst="rect"/>
                  </pic:spPr>
                </pic:pic>
              </a:graphicData>
            </a:graphic>
          </wp:inline>
        </w:drawing>
      </w:r>
    </w:p>
    <w:p>
      <w:pPr>
        <w:pStyle w:val="Caption"/>
        <w:jc w:val="center"/>
      </w:pPr>
      <w:r>
        <w:rPr>
          <w:rFonts w:ascii="Times New Roman" w:hAnsi="Times New Roman"/>
          <w:i/>
          <w:sz w:val="20"/>
        </w:rPr>
        <w:t>dodona-series-overview-1</w:t>
      </w:r>
    </w:p>
    <w:p>
      <w:r>
        <w:rPr>
          <w:b/>
        </w:rPr>
        <w:t>Description:</w:t>
      </w:r>
      <w:r>
        <w:t xml:space="preserve"> Shows the top portion of the full exercise series within the 'Basisstatistiek' course on Dodona.</w:t>
      </w:r>
    </w:p>
    <w:p>
      <w:r>
        <w:rPr>
          <w:b/>
        </w:rPr>
        <w:t>Purpose:</w:t>
      </w:r>
      <w:r>
        <w:t xml:space="preserve"> Highlights the structure and entry point of the course, where students see the learning objectives and can track their progress.</w:t>
      </w:r>
    </w:p>
    <w:p>
      <w:r>
        <w:t>__________________________________________________</w:t>
      </w:r>
    </w:p>
    <w:p>
      <w:pPr>
        <w:pStyle w:val="Heading1"/>
      </w:pPr>
      <w:r>
        <w:rPr>
          <w:rFonts w:ascii="Times New Roman" w:hAnsi="Times New Roman"/>
          <w:color w:val="000000"/>
        </w:rPr>
        <w:t>2. Series Overview – Part 2</w:t>
      </w:r>
    </w:p>
    <w:p>
      <w:pPr>
        <w:jc w:val="center"/>
      </w:pPr>
    </w:p>
    <w:p>
      <w:r>
        <w:drawing>
          <wp:inline xmlns:a="http://schemas.openxmlformats.org/drawingml/2006/main" xmlns:pic="http://schemas.openxmlformats.org/drawingml/2006/picture">
            <wp:extent cx="5486400" cy="3101734"/>
            <wp:docPr id="2" name="Picture 2"/>
            <wp:cNvGraphicFramePr>
              <a:graphicFrameLocks noChangeAspect="1"/>
            </wp:cNvGraphicFramePr>
            <a:graphic>
              <a:graphicData uri="http://schemas.openxmlformats.org/drawingml/2006/picture">
                <pic:pic>
                  <pic:nvPicPr>
                    <pic:cNvPr id="0" name="dodona-series-overview-2.png"/>
                    <pic:cNvPicPr/>
                  </pic:nvPicPr>
                  <pic:blipFill>
                    <a:blip r:embed="rId10"/>
                    <a:stretch>
                      <a:fillRect/>
                    </a:stretch>
                  </pic:blipFill>
                  <pic:spPr>
                    <a:xfrm>
                      <a:off x="0" y="0"/>
                      <a:ext cx="5486400" cy="3101734"/>
                    </a:xfrm>
                    <a:prstGeom prst="rect"/>
                  </pic:spPr>
                </pic:pic>
              </a:graphicData>
            </a:graphic>
          </wp:inline>
        </w:drawing>
      </w:r>
    </w:p>
    <w:p>
      <w:pPr>
        <w:pStyle w:val="Caption"/>
        <w:jc w:val="center"/>
      </w:pPr>
      <w:r>
        <w:rPr>
          <w:rFonts w:ascii="Times New Roman" w:hAnsi="Times New Roman"/>
          <w:i/>
          <w:sz w:val="20"/>
        </w:rPr>
        <w:t>dodona-series-overview-2</w:t>
      </w:r>
    </w:p>
    <w:p>
      <w:r>
        <w:rPr>
          <w:b/>
        </w:rPr>
        <w:t>Description:</w:t>
      </w:r>
      <w:r>
        <w:t xml:space="preserve"> Displays the middle section of the course, including the first part: *Basisbegrippen en Toepassingen*.</w:t>
      </w:r>
    </w:p>
    <w:p>
      <w:r>
        <w:rPr>
          <w:b/>
        </w:rPr>
        <w:t>Purpose:</w:t>
      </w:r>
      <w:r>
        <w:t xml:space="preserve"> Demonstrates the progressive introduction of fundamental statistical concepts (e.g., measurement levels, crime rate, correlation). Most exercises here are aligned with Bloom's levels: Remember, Understand, and Apply.</w:t>
      </w:r>
    </w:p>
    <w:p>
      <w:r>
        <w:t>__________________________________________________</w:t>
      </w:r>
    </w:p>
    <w:p>
      <w:pPr>
        <w:pStyle w:val="Heading1"/>
      </w:pPr>
      <w:r>
        <w:rPr>
          <w:rFonts w:ascii="Times New Roman" w:hAnsi="Times New Roman"/>
          <w:color w:val="000000"/>
        </w:rPr>
        <w:t>3. Series Overview – Part 3</w:t>
      </w:r>
    </w:p>
    <w:p>
      <w:pPr>
        <w:jc w:val="center"/>
      </w:pPr>
    </w:p>
    <w:p>
      <w:r>
        <w:drawing>
          <wp:inline xmlns:a="http://schemas.openxmlformats.org/drawingml/2006/main" xmlns:pic="http://schemas.openxmlformats.org/drawingml/2006/picture">
            <wp:extent cx="5486400" cy="2805484"/>
            <wp:docPr id="3" name="Picture 3"/>
            <wp:cNvGraphicFramePr>
              <a:graphicFrameLocks noChangeAspect="1"/>
            </wp:cNvGraphicFramePr>
            <a:graphic>
              <a:graphicData uri="http://schemas.openxmlformats.org/drawingml/2006/picture">
                <pic:pic>
                  <pic:nvPicPr>
                    <pic:cNvPr id="0" name="dodona-series-overview-3.png"/>
                    <pic:cNvPicPr/>
                  </pic:nvPicPr>
                  <pic:blipFill>
                    <a:blip r:embed="rId11"/>
                    <a:stretch>
                      <a:fillRect/>
                    </a:stretch>
                  </pic:blipFill>
                  <pic:spPr>
                    <a:xfrm>
                      <a:off x="0" y="0"/>
                      <a:ext cx="5486400" cy="2805484"/>
                    </a:xfrm>
                    <a:prstGeom prst="rect"/>
                  </pic:spPr>
                </pic:pic>
              </a:graphicData>
            </a:graphic>
          </wp:inline>
        </w:drawing>
      </w:r>
    </w:p>
    <w:p>
      <w:pPr>
        <w:pStyle w:val="Caption"/>
        <w:jc w:val="center"/>
      </w:pPr>
      <w:r>
        <w:rPr>
          <w:rFonts w:ascii="Times New Roman" w:hAnsi="Times New Roman"/>
          <w:i/>
          <w:sz w:val="20"/>
        </w:rPr>
        <w:t>dodona-series-overview-3</w:t>
      </w:r>
    </w:p>
    <w:p>
      <w:r>
        <w:rPr>
          <w:b/>
        </w:rPr>
        <w:t>Description:</w:t>
      </w:r>
      <w:r>
        <w:t xml:space="preserve"> Covers the final section *Analyse en Evaluatie in Statistiek*, including advanced interpretation tasks (e.g., boxplots, leverage, spurious correlation).</w:t>
      </w:r>
    </w:p>
    <w:p>
      <w:r>
        <w:rPr>
          <w:b/>
        </w:rPr>
        <w:t>Purpose:</w:t>
      </w:r>
      <w:r>
        <w:t xml:space="preserve"> This section supports higher-order thinking with questions that target Bloom's levels: Analyze and Evaluate. It encourages students to interpret patterns, detect outliers, and assess methodological choices using realistic data.</w:t>
      </w:r>
    </w:p>
    <w:p>
      <w:pPr>
        <w:pStyle w:val="Heading1"/>
      </w:pPr>
      <w:r>
        <w:rPr>
          <w:rFonts w:ascii="Times New Roman" w:hAnsi="Times New Roman"/>
          <w:color w:val="000000"/>
        </w:rPr>
        <w:t>4. Score Summary (Total Overview)</w:t>
      </w:r>
    </w:p>
    <w:p>
      <w:pPr>
        <w:jc w:val="center"/>
      </w:pPr>
    </w:p>
    <w:p>
      <w:r>
        <w:drawing>
          <wp:inline xmlns:a="http://schemas.openxmlformats.org/drawingml/2006/main" xmlns:pic="http://schemas.openxmlformats.org/drawingml/2006/picture">
            <wp:extent cx="5486400" cy="1993635"/>
            <wp:docPr id="4" name="Picture 4"/>
            <wp:cNvGraphicFramePr>
              <a:graphicFrameLocks noChangeAspect="1"/>
            </wp:cNvGraphicFramePr>
            <a:graphic>
              <a:graphicData uri="http://schemas.openxmlformats.org/drawingml/2006/picture">
                <pic:pic>
                  <pic:nvPicPr>
                    <pic:cNvPr id="0" name="dodona_scoresheet_total_overview.png"/>
                    <pic:cNvPicPr/>
                  </pic:nvPicPr>
                  <pic:blipFill>
                    <a:blip r:embed="rId12"/>
                    <a:stretch>
                      <a:fillRect/>
                    </a:stretch>
                  </pic:blipFill>
                  <pic:spPr>
                    <a:xfrm>
                      <a:off x="0" y="0"/>
                      <a:ext cx="5486400" cy="1993635"/>
                    </a:xfrm>
                    <a:prstGeom prst="rect"/>
                  </pic:spPr>
                </pic:pic>
              </a:graphicData>
            </a:graphic>
          </wp:inline>
        </w:drawing>
      </w:r>
    </w:p>
    <w:p>
      <w:pPr>
        <w:pStyle w:val="Caption"/>
        <w:jc w:val="center"/>
      </w:pPr>
      <w:r>
        <w:rPr>
          <w:rFonts w:ascii="Times New Roman" w:hAnsi="Times New Roman"/>
          <w:i/>
          <w:sz w:val="20"/>
        </w:rPr>
        <w:t>Score Summary (Total Overview)</w:t>
      </w:r>
    </w:p>
    <w:p>
      <w:r>
        <w:rPr>
          <w:b/>
        </w:rPr>
        <w:t>Description:</w:t>
      </w:r>
      <w:r>
        <w:t xml:space="preserve"> This shows the overall completion status for each user across the three sections.</w:t>
      </w:r>
    </w:p>
    <w:p>
      <w:r>
        <w:rPr>
          <w:b/>
        </w:rPr>
        <w:t>Purpose:</w:t>
      </w:r>
      <w:r>
        <w:t xml:space="preserve"> Allows monitoring of student progress and identifies where further scaffolding or support may be needed.</w:t>
      </w:r>
    </w:p>
    <w:p>
      <w:pPr>
        <w:pStyle w:val="Heading1"/>
      </w:pPr>
      <w:r>
        <w:rPr>
          <w:rFonts w:ascii="Times New Roman" w:hAnsi="Times New Roman"/>
          <w:color w:val="000000"/>
        </w:rPr>
        <w:t>5. Score Summary – Basic Concepts</w:t>
      </w:r>
    </w:p>
    <w:p>
      <w:pPr>
        <w:jc w:val="center"/>
      </w:pPr>
    </w:p>
    <w:p>
      <w:r>
        <w:drawing>
          <wp:inline xmlns:a="http://schemas.openxmlformats.org/drawingml/2006/main" xmlns:pic="http://schemas.openxmlformats.org/drawingml/2006/picture">
            <wp:extent cx="5486400" cy="1983240"/>
            <wp:docPr id="5" name="Picture 5"/>
            <wp:cNvGraphicFramePr>
              <a:graphicFrameLocks noChangeAspect="1"/>
            </wp:cNvGraphicFramePr>
            <a:graphic>
              <a:graphicData uri="http://schemas.openxmlformats.org/drawingml/2006/picture">
                <pic:pic>
                  <pic:nvPicPr>
                    <pic:cNvPr id="0" name="dodona_scoresheet_basisbegrippen_toepassingen.png"/>
                    <pic:cNvPicPr/>
                  </pic:nvPicPr>
                  <pic:blipFill>
                    <a:blip r:embed="rId13"/>
                    <a:stretch>
                      <a:fillRect/>
                    </a:stretch>
                  </pic:blipFill>
                  <pic:spPr>
                    <a:xfrm>
                      <a:off x="0" y="0"/>
                      <a:ext cx="5486400" cy="1983240"/>
                    </a:xfrm>
                    <a:prstGeom prst="rect"/>
                  </pic:spPr>
                </pic:pic>
              </a:graphicData>
            </a:graphic>
          </wp:inline>
        </w:drawing>
      </w:r>
    </w:p>
    <w:p>
      <w:pPr>
        <w:pStyle w:val="Caption"/>
        <w:jc w:val="center"/>
      </w:pPr>
      <w:r>
        <w:rPr>
          <w:rFonts w:ascii="Times New Roman" w:hAnsi="Times New Roman"/>
          <w:i/>
          <w:sz w:val="20"/>
        </w:rPr>
        <w:t>Score Summary – Basic Concepts</w:t>
      </w:r>
    </w:p>
    <w:p>
      <w:r>
        <w:rPr>
          <w:b/>
        </w:rPr>
        <w:t>Description:</w:t>
      </w:r>
      <w:r>
        <w:t xml:space="preserve"> This view provides insight into user performance on foundational concepts like measurement levels and descriptive statistics.</w:t>
      </w:r>
    </w:p>
    <w:p>
      <w:r>
        <w:rPr>
          <w:b/>
        </w:rPr>
        <w:t>Purpose:</w:t>
      </w:r>
      <w:r>
        <w:t xml:space="preserve"> Helps identify specific strengths and weaknesses in early-stage comprehension.</w:t>
      </w:r>
    </w:p>
    <w:p>
      <w:pPr>
        <w:pStyle w:val="Heading1"/>
      </w:pPr>
      <w:r>
        <w:rPr>
          <w:rFonts w:ascii="Times New Roman" w:hAnsi="Times New Roman"/>
          <w:color w:val="000000"/>
        </w:rPr>
        <w:t>6. Score Summary – Analysis and Evaluation</w:t>
      </w:r>
    </w:p>
    <w:p>
      <w:pPr>
        <w:jc w:val="center"/>
      </w:pPr>
    </w:p>
    <w:p>
      <w:r>
        <w:drawing>
          <wp:inline xmlns:a="http://schemas.openxmlformats.org/drawingml/2006/main" xmlns:pic="http://schemas.openxmlformats.org/drawingml/2006/picture">
            <wp:extent cx="5486400" cy="2202654"/>
            <wp:docPr id="6" name="Picture 6"/>
            <wp:cNvGraphicFramePr>
              <a:graphicFrameLocks noChangeAspect="1"/>
            </wp:cNvGraphicFramePr>
            <a:graphic>
              <a:graphicData uri="http://schemas.openxmlformats.org/drawingml/2006/picture">
                <pic:pic>
                  <pic:nvPicPr>
                    <pic:cNvPr id="0" name="dodona_scoresheet_analyse_evaluatie_statistiek.png"/>
                    <pic:cNvPicPr/>
                  </pic:nvPicPr>
                  <pic:blipFill>
                    <a:blip r:embed="rId14"/>
                    <a:stretch>
                      <a:fillRect/>
                    </a:stretch>
                  </pic:blipFill>
                  <pic:spPr>
                    <a:xfrm>
                      <a:off x="0" y="0"/>
                      <a:ext cx="5486400" cy="2202654"/>
                    </a:xfrm>
                    <a:prstGeom prst="rect"/>
                  </pic:spPr>
                </pic:pic>
              </a:graphicData>
            </a:graphic>
          </wp:inline>
        </w:drawing>
      </w:r>
    </w:p>
    <w:p>
      <w:pPr>
        <w:pStyle w:val="Caption"/>
        <w:jc w:val="center"/>
      </w:pPr>
      <w:r>
        <w:rPr>
          <w:rFonts w:ascii="Times New Roman" w:hAnsi="Times New Roman"/>
          <w:i/>
          <w:sz w:val="20"/>
        </w:rPr>
        <w:t>Score Summary – Analysis and Evaluation</w:t>
      </w:r>
    </w:p>
    <w:p>
      <w:r>
        <w:rPr>
          <w:b/>
        </w:rPr>
        <w:t>Description:</w:t>
      </w:r>
      <w:r>
        <w:t xml:space="preserve"> This section reflects progress on more complex tasks such as regression, outliers, and statistical inference.</w:t>
      </w:r>
    </w:p>
    <w:p>
      <w:r>
        <w:rPr>
          <w:b/>
        </w:rPr>
        <w:t>Purpose:</w:t>
      </w:r>
      <w:r>
        <w:t xml:space="preserve"> Highlights students' abilities to apply and evaluate statistical models using criminological data.</w:t>
      </w:r>
    </w:p>
    <w:p>
      <w:pPr>
        <w:pStyle w:val="Heading1"/>
      </w:pPr>
      <w:r>
        <w:rPr>
          <w:rFonts w:ascii="Times New Roman" w:hAnsi="Times New Roman"/>
          <w:color w:val="000000"/>
        </w:rPr>
        <w:t>7. Crime Rate Calculation Exercise</w:t>
      </w:r>
    </w:p>
    <w:p>
      <w:pPr>
        <w:jc w:val="center"/>
      </w:pPr>
    </w:p>
    <w:p>
      <w:r>
        <w:drawing>
          <wp:inline xmlns:a="http://schemas.openxmlformats.org/drawingml/2006/main" xmlns:pic="http://schemas.openxmlformats.org/drawingml/2006/picture">
            <wp:extent cx="5486400" cy="3653140"/>
            <wp:docPr id="7" name="Picture 7"/>
            <wp:cNvGraphicFramePr>
              <a:graphicFrameLocks noChangeAspect="1"/>
            </wp:cNvGraphicFramePr>
            <a:graphic>
              <a:graphicData uri="http://schemas.openxmlformats.org/drawingml/2006/picture">
                <pic:pic>
                  <pic:nvPicPr>
                    <pic:cNvPr id="0" name="crime-rate-calculation.png"/>
                    <pic:cNvPicPr/>
                  </pic:nvPicPr>
                  <pic:blipFill>
                    <a:blip r:embed="rId15"/>
                    <a:stretch>
                      <a:fillRect/>
                    </a:stretch>
                  </pic:blipFill>
                  <pic:spPr>
                    <a:xfrm>
                      <a:off x="0" y="0"/>
                      <a:ext cx="5486400" cy="3653140"/>
                    </a:xfrm>
                    <a:prstGeom prst="rect"/>
                  </pic:spPr>
                </pic:pic>
              </a:graphicData>
            </a:graphic>
          </wp:inline>
        </w:drawing>
      </w:r>
    </w:p>
    <w:p>
      <w:pPr>
        <w:pStyle w:val="Caption"/>
        <w:jc w:val="center"/>
      </w:pPr>
      <w:r>
        <w:rPr>
          <w:rFonts w:ascii="Times New Roman" w:hAnsi="Times New Roman"/>
          <w:i/>
          <w:sz w:val="20"/>
        </w:rPr>
        <w:t>Crime Rate Calculation Exercise</w:t>
      </w:r>
    </w:p>
    <w:p>
      <w:r>
        <w:rPr>
          <w:b/>
        </w:rPr>
        <w:t>Description:</w:t>
      </w:r>
      <w:r>
        <w:t xml:space="preserve"> A simple question asking students to calculate crime rate per 1,000 inhabitants.</w:t>
      </w:r>
    </w:p>
    <w:p>
      <w:r>
        <w:rPr>
          <w:b/>
        </w:rPr>
        <w:t>Purpose:</w:t>
      </w:r>
      <w:r>
        <w:t xml:space="preserve"> Trains students in basic rate calculation using real-world population and crime data.</w:t>
      </w:r>
    </w:p>
    <w:p>
      <w:pPr>
        <w:pStyle w:val="Heading1"/>
      </w:pPr>
      <w:r>
        <w:rPr>
          <w:rFonts w:ascii="Times New Roman" w:hAnsi="Times New Roman"/>
          <w:color w:val="000000"/>
        </w:rPr>
        <w:t>8. Descriptive vs Inferential Statistics</w:t>
      </w:r>
    </w:p>
    <w:p>
      <w:pPr>
        <w:jc w:val="center"/>
      </w:pPr>
    </w:p>
    <w:p>
      <w:r>
        <w:drawing>
          <wp:inline xmlns:a="http://schemas.openxmlformats.org/drawingml/2006/main" xmlns:pic="http://schemas.openxmlformats.org/drawingml/2006/picture">
            <wp:extent cx="5486400" cy="3327442"/>
            <wp:docPr id="8" name="Picture 8"/>
            <wp:cNvGraphicFramePr>
              <a:graphicFrameLocks noChangeAspect="1"/>
            </wp:cNvGraphicFramePr>
            <a:graphic>
              <a:graphicData uri="http://schemas.openxmlformats.org/drawingml/2006/picture">
                <pic:pic>
                  <pic:nvPicPr>
                    <pic:cNvPr id="0" name="descriptive-vs-inferential.png"/>
                    <pic:cNvPicPr/>
                  </pic:nvPicPr>
                  <pic:blipFill>
                    <a:blip r:embed="rId16"/>
                    <a:stretch>
                      <a:fillRect/>
                    </a:stretch>
                  </pic:blipFill>
                  <pic:spPr>
                    <a:xfrm>
                      <a:off x="0" y="0"/>
                      <a:ext cx="5486400" cy="3327442"/>
                    </a:xfrm>
                    <a:prstGeom prst="rect"/>
                  </pic:spPr>
                </pic:pic>
              </a:graphicData>
            </a:graphic>
          </wp:inline>
        </w:drawing>
      </w:r>
    </w:p>
    <w:p>
      <w:pPr>
        <w:pStyle w:val="Caption"/>
        <w:jc w:val="center"/>
      </w:pPr>
      <w:r>
        <w:rPr>
          <w:rFonts w:ascii="Times New Roman" w:hAnsi="Times New Roman"/>
          <w:i/>
          <w:sz w:val="20"/>
        </w:rPr>
        <w:t>Descriptive vs Inferential Statistics</w:t>
      </w:r>
    </w:p>
    <w:p>
      <w:r>
        <w:rPr>
          <w:b/>
        </w:rPr>
        <w:t>Description:</w:t>
      </w:r>
      <w:r>
        <w:t xml:space="preserve"> This question checks understanding of the distinction between summarizing data and making predictions.</w:t>
      </w:r>
    </w:p>
    <w:p>
      <w:r>
        <w:rPr>
          <w:b/>
        </w:rPr>
        <w:t>Purpose:</w:t>
      </w:r>
      <w:r>
        <w:t xml:space="preserve"> Reinforces conceptual clarity on the purpose of statistical approaches.</w:t>
      </w:r>
    </w:p>
    <w:p>
      <w:pPr>
        <w:pStyle w:val="Heading1"/>
      </w:pPr>
      <w:r>
        <w:rPr>
          <w:rFonts w:ascii="Times New Roman" w:hAnsi="Times New Roman"/>
          <w:color w:val="000000"/>
        </w:rPr>
        <w:t>9. Hypothesis Testing Exercise</w:t>
      </w:r>
    </w:p>
    <w:p>
      <w:pPr>
        <w:jc w:val="center"/>
      </w:pPr>
    </w:p>
    <w:p>
      <w:r>
        <w:drawing>
          <wp:inline xmlns:a="http://schemas.openxmlformats.org/drawingml/2006/main" xmlns:pic="http://schemas.openxmlformats.org/drawingml/2006/picture">
            <wp:extent cx="5486400" cy="2872522"/>
            <wp:docPr id="9" name="Picture 9"/>
            <wp:cNvGraphicFramePr>
              <a:graphicFrameLocks noChangeAspect="1"/>
            </wp:cNvGraphicFramePr>
            <a:graphic>
              <a:graphicData uri="http://schemas.openxmlformats.org/drawingml/2006/picture">
                <pic:pic>
                  <pic:nvPicPr>
                    <pic:cNvPr id="0" name="hypothesis-video-question.png"/>
                    <pic:cNvPicPr/>
                  </pic:nvPicPr>
                  <pic:blipFill>
                    <a:blip r:embed="rId17"/>
                    <a:stretch>
                      <a:fillRect/>
                    </a:stretch>
                  </pic:blipFill>
                  <pic:spPr>
                    <a:xfrm>
                      <a:off x="0" y="0"/>
                      <a:ext cx="5486400" cy="2872522"/>
                    </a:xfrm>
                    <a:prstGeom prst="rect"/>
                  </pic:spPr>
                </pic:pic>
              </a:graphicData>
            </a:graphic>
          </wp:inline>
        </w:drawing>
      </w:r>
    </w:p>
    <w:p>
      <w:pPr>
        <w:pStyle w:val="Caption"/>
        <w:jc w:val="center"/>
      </w:pPr>
      <w:r>
        <w:rPr>
          <w:rFonts w:ascii="Times New Roman" w:hAnsi="Times New Roman"/>
          <w:i/>
          <w:sz w:val="20"/>
        </w:rPr>
        <w:t>Hypothesis Testing Exercise</w:t>
      </w:r>
    </w:p>
    <w:p>
      <w:r>
        <w:rPr>
          <w:b/>
        </w:rPr>
        <w:t>Description:</w:t>
      </w:r>
      <w:r>
        <w:t xml:space="preserve"> A multimedia-supported question prompting students to define the correct null hypothesis.</w:t>
      </w:r>
    </w:p>
    <w:p>
      <w:r>
        <w:rPr>
          <w:b/>
        </w:rPr>
        <w:t>Purpose:</w:t>
      </w:r>
      <w:r>
        <w:t xml:space="preserve"> Introduces inferential statistics with visual support, helping explain abstract ideas.</w:t>
      </w:r>
    </w:p>
    <w:p>
      <w:pPr>
        <w:pStyle w:val="Heading1"/>
      </w:pPr>
      <w:r>
        <w:rPr>
          <w:rFonts w:ascii="Times New Roman" w:hAnsi="Times New Roman"/>
          <w:color w:val="000000"/>
        </w:rPr>
        <w:t>10. Histogram Interpretation</w:t>
      </w:r>
    </w:p>
    <w:p>
      <w:pPr>
        <w:jc w:val="center"/>
      </w:pPr>
    </w:p>
    <w:p>
      <w:r>
        <w:drawing>
          <wp:inline xmlns:a="http://schemas.openxmlformats.org/drawingml/2006/main" xmlns:pic="http://schemas.openxmlformats.org/drawingml/2006/picture">
            <wp:extent cx="5486400" cy="3920230"/>
            <wp:docPr id="10" name="Picture 10"/>
            <wp:cNvGraphicFramePr>
              <a:graphicFrameLocks noChangeAspect="1"/>
            </wp:cNvGraphicFramePr>
            <a:graphic>
              <a:graphicData uri="http://schemas.openxmlformats.org/drawingml/2006/picture">
                <pic:pic>
                  <pic:nvPicPr>
                    <pic:cNvPr id="0" name="histogram-interpretation.png"/>
                    <pic:cNvPicPr/>
                  </pic:nvPicPr>
                  <pic:blipFill>
                    <a:blip r:embed="rId18"/>
                    <a:stretch>
                      <a:fillRect/>
                    </a:stretch>
                  </pic:blipFill>
                  <pic:spPr>
                    <a:xfrm>
                      <a:off x="0" y="0"/>
                      <a:ext cx="5486400" cy="3920230"/>
                    </a:xfrm>
                    <a:prstGeom prst="rect"/>
                  </pic:spPr>
                </pic:pic>
              </a:graphicData>
            </a:graphic>
          </wp:inline>
        </w:drawing>
      </w:r>
    </w:p>
    <w:p>
      <w:pPr>
        <w:pStyle w:val="Caption"/>
        <w:jc w:val="center"/>
      </w:pPr>
      <w:r>
        <w:rPr>
          <w:rFonts w:ascii="Times New Roman" w:hAnsi="Times New Roman"/>
          <w:i/>
          <w:sz w:val="20"/>
        </w:rPr>
        <w:t>Histogram Interpretation</w:t>
      </w:r>
    </w:p>
    <w:p>
      <w:r>
        <w:rPr>
          <w:b/>
        </w:rPr>
        <w:t>Description:</w:t>
      </w:r>
      <w:r>
        <w:t xml:space="preserve"> Asks students to interpret the shape and distribution from a histogram of participant ages.</w:t>
      </w:r>
    </w:p>
    <w:p>
      <w:r>
        <w:rPr>
          <w:b/>
        </w:rPr>
        <w:t>Purpose:</w:t>
      </w:r>
      <w:r>
        <w:t xml:space="preserve"> Promotes data literacy and visual interpretation skills.</w:t>
      </w:r>
    </w:p>
    <w:p>
      <w:pPr>
        <w:pStyle w:val="Heading1"/>
      </w:pPr>
      <w:r>
        <w:rPr>
          <w:rFonts w:ascii="Times New Roman" w:hAnsi="Times New Roman"/>
          <w:color w:val="000000"/>
        </w:rPr>
        <w:t>11. Outlier Identification (Correct Answer)</w:t>
      </w:r>
    </w:p>
    <w:p>
      <w:pPr>
        <w:jc w:val="center"/>
      </w:pPr>
      <w:r>
        <w:t>[Image: Outlier Identification (Correct Answer) - Correct Answer]</w:t>
        <w:br/>
        <w:t>File not found</w:t>
      </w:r>
    </w:p>
    <w:p>
      <w:r>
        <w:rPr>
          <w:b/>
        </w:rPr>
        <w:t>Description:</w:t>
      </w:r>
      <w:r>
        <w:t xml:space="preserve"> Demonstrates how feedback is presented when students correctly identify a statistical outlier.</w:t>
      </w:r>
    </w:p>
    <w:p>
      <w:r>
        <w:rPr>
          <w:b/>
        </w:rPr>
        <w:t>Purpose:</w:t>
      </w:r>
      <w:r>
        <w:t xml:space="preserve"> Confirms correct reasoning with step-by-step solution and statistical justification (Z-score logic).</w:t>
      </w:r>
    </w:p>
    <w:p>
      <w:pPr>
        <w:pStyle w:val="Heading1"/>
      </w:pPr>
      <w:r>
        <w:rPr>
          <w:rFonts w:ascii="Times New Roman" w:hAnsi="Times New Roman"/>
          <w:color w:val="000000"/>
        </w:rPr>
        <w:t>12. Outlier Identification (Incorrect Answer)</w:t>
      </w:r>
    </w:p>
    <w:p>
      <w:pPr>
        <w:jc w:val="center"/>
      </w:pPr>
      <w:r>
        <w:t>[Image: Outlier Identification (Incorrect Answer) - Incorrect Answer]</w:t>
        <w:br/>
        <w:t>File not found</w:t>
      </w:r>
    </w:p>
    <w:p>
      <w:r>
        <w:rPr>
          <w:b/>
        </w:rPr>
        <w:t>Description:</w:t>
      </w:r>
      <w:r>
        <w:t xml:space="preserve"> Illustrates how detailed feedback is used to correct misunderstandings.</w:t>
      </w:r>
    </w:p>
    <w:p>
      <w:r>
        <w:rPr>
          <w:b/>
        </w:rPr>
        <w:t>Purpose:</w:t>
      </w:r>
      <w:r>
        <w:t xml:space="preserve"> Leverages feedback as a learning opportunity by explaining why an answer is incorrect.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Times New Roman" w:hAnsi="Times New Roman"/>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Times New Roman" w:hAnsi="Times New Roman"/>
      <w:color w:val="00000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Times New Roman" w:hAnsi="Times New Roman"/>
      <w:i/>
      <w:iCs/>
      <w:color w:val="00000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Times New Roman" w:hAnsi="Times New Roman"/>
      <w:i/>
      <w:iCs/>
      <w:color w:val="000000"/>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Times New Roman" w:hAnsi="Times New Roman"/>
      <w:color w:val="000000"/>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Times New Roman" w:hAnsi="Times New Roman"/>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