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0"/>
          <w:szCs w:val="20"/>
          <w:color w:val="000000"/>
        </w:rPr>
        <w:t xml:space="preserve">Appendix 2: Street segment classification (N = 2392)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9436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map shows the street-segment units used in the study area. It separates standard street segments, intersections, and bridges.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aab0319c3a136975f0413e5b6b9f4447563897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2026-06-24T18:00:23Z</dcterms:modified>
  <cp:category/>
</cp:coreProperties>
</file>