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z w:val="20"/>
          <w:szCs w:val="20"/>
          <w:color w:val="000000"/>
        </w:rPr>
        <w:t xml:space="preserve">Appendix 3: Overview of Graffiti Observation (Street-segment network N = 2392; observed segments N = 2201)</w:t>
      </w:r>
    </w:p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943600" cy="50292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6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This map shows which street segments were observed, which were not observed, and which were excluded before the main analysis.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e2c9e115d3deac101cd493dc6b403948d836ccfe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2026-06-24T18:00:25Z</dcterms:modified>
  <cp:category/>
</cp:coreProperties>
</file>