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z w:val="20"/>
          <w:szCs w:val="20"/>
          <w:color w:val="000000"/>
        </w:rPr>
        <w:t xml:space="preserve">Appendix 4: Street-segment geometry by sample.</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2722"/>
        <w:gridCol w:w="961"/>
        <w:gridCol w:w="2171"/>
        <w:gridCol w:w="2366"/>
        <w:gridCol w:w="2049"/>
        <w:gridCol w:w="2244"/>
      </w:tblGrid>
      <w:tr>
        <w:trPr>
          <w:trHeight w:val="61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Sample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Mean Length (m)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Median Length (m)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Mean Area (m2)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2"/>
                <w:szCs w:val="22"/>
                <w:color w:val="000000"/>
              </w:rPr>
            </w:pPr>
            <w:r>
              <w:rPr>
                <w:rFonts w:ascii="Times New Roman" w:hAnsi="Times New Roman" w:eastAsia="Times New Roman" w:cs="Times New Roman"/>
                <w:i w:val="false"/>
                <w:b w:val="true"/>
                <w:u w:val="none"/>
                <w:sz w:val="22"/>
                <w:szCs w:val="22"/>
                <w:color w:val="000000"/>
              </w:rPr>
              <w:t xml:space="preserve">Median Area (m2)</w:t>
            </w:r>
          </w:p>
        </w:tc>
      </w:tr>
      <w:tr>
        <w:trPr>
          <w:trHeight w:val="61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All segments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2,392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115.2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844.9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512.9</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Observed segments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2,201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847.6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517.0</w:t>
            </w:r>
          </w:p>
        </w:tc>
      </w:tr>
      <w:tr>
        <w:trPr>
          <w:trHeight w:val="617"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Analytic focal segments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1,640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170.7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128.8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950.8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2"/>
                <w:szCs w:val="22"/>
                <w:color w:val="000000"/>
              </w:rPr>
            </w:pPr>
            <w:r>
              <w:rPr>
                <w:rFonts w:ascii="Times New Roman" w:hAnsi="Times New Roman" w:eastAsia="Times New Roman" w:cs="Times New Roman"/>
                <w:i w:val="false"/>
                <w:b w:val="false"/>
                <w:u w:val="none"/>
                <w:sz w:val="22"/>
                <w:szCs w:val="22"/>
                <w:color w:val="000000"/>
              </w:rPr>
              <w:t xml:space="preserve">598.0</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z w:val="20"/>
          <w:szCs w:val="20"/>
          <w:color w:val="000000"/>
        </w:rPr>
        <w:t xml:space="preserve">This table reports length and area for all street segments, observed street segments, and analytic street segments. It shows that the analytic street segments are large enough to contain several writable surfaces. Lengths are in meters and areas in square meters.</w:t>
      </w:r>
    </w:p>
    <w:sectPr>
      <w:pgMar w:header="708" w:bottom="864" w:top="864" w:right="864" w:left="864" w:footer="708" w:gutter="0"/>
      <w:pgSz w:h="11906" w:w="16838"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2026-06-24T18:03:30Z</dcterms:modified>
  <cp:category/>
</cp:coreProperties>
</file>