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5: Transformation sensitivity for the 3 grouped types.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2440"/>
        <w:gridCol w:w="2538"/>
        <w:gridCol w:w="2709"/>
        <w:gridCol w:w="2452"/>
        <w:gridCol w:w="1205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Transformations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Graffiti Types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Observed MHI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4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Transformation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Square Root Transformation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body10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table checks whether the main result changes under alternative count transformations. The lower co-presence pattern remains stable across transformations. The table reports observed MHI, the Fixed-Fixed null mean and SD from 1,000 permutations, and one-tailed p-values under no transformation, square-root transformation, log(x + 0.5), and log(x + 1).</w:t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2026-06-24T18:03:31Z</dcterms:modified>
  <cp:category/>
</cp:coreProperties>
</file>