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0"/>
          <w:szCs w:val="20"/>
          <w:color w:val="000000"/>
        </w:rPr>
        <w:t xml:space="preserve">Appendix 7: Six-type disaggregation sensitivity.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6"/>
        <w:gridCol w:w="2942"/>
        <w:gridCol w:w="2538"/>
        <w:gridCol w:w="2709"/>
        <w:gridCol w:w="2452"/>
        <w:gridCol w:w="1205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Log Transformations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Graffiti Types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Observed MHI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Permutated MHI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 Permutated MHI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2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 Transformation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3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2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2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2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4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2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4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Square Root Transformation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615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5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Transformation + 0.5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</w:tr>
      <w:tr>
        <w:trPr>
          <w:trHeight w:val="617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body46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 Transformation + 1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body47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illustration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slogan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masterpiece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</w:t>
            </w:r>
          </w:p>
        </w:tc>
      </w:tr>
      <w:tr>
        <w:trPr>
          <w:trHeight w:val="617" w:hRule="auto"/>
        </w:trPr>
        body55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stencil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slogan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stencil vs throw 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body60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 vs throw 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table checks whether grouping the six observed graffiti types into three categories changes the result. The overall lower co-presence pattern remains stable, with one partial exception discussed in the manuscript. The table repeats the Fixed-Fixed MHI analysis for the original six graffiti types rather than the three grouped categories. Each row reports observed MHI, null mean and SD from 1,000 permutations, and one-tailed p-values across all transformations.</w:t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2026-06-24T18:10:04Z</dcterms:modified>
  <cp:category/>
</cp:coreProperties>
</file>