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8: Other-inclusion sensitivity.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6"/>
        <w:gridCol w:w="2501"/>
        <w:gridCol w:w="2538"/>
        <w:gridCol w:w="2709"/>
        <w:gridCol w:w="2452"/>
        <w:gridCol w:w="1205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Transformations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Graffiti Types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Observed MHI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Permutated MHI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 Permutated MHI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5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Transformation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4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Square Root Transformation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Transformation + 0.5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Transformation + 1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SITS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table checks whether excluding graffiti coded as Other changes the main result. The main pairwise comparisons remain lower than expected. The table repeats the Fixed-Fixed MHI analysis after retaining graffiti coded as Other as a fourth analytic category. Each row reports observed MHI, null mean and SD from 1,000 permutations, and one-tailed p-values across all transformations.</w:t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2026-06-24T18:14:14Z</dcterms:modified>
  <cp:category/>
</cp:coreProperties>
</file>