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z w:val="20"/>
          <w:szCs w:val="20"/>
          <w:color w:val="000000"/>
        </w:rPr>
        <w:t xml:space="preserve">Appendix 3: Street segment classification (N = 2392)</w:t>
      </w:r>
    </w:p>
    <w:p>
      <w:pPr>
        <w:pStyle w:val="Normal"/>
      </w:pPr>
      <w:r>
        <w:t xml:space="preserve"/>
      </w:r>
    </w:p>
    <w:p>
      <w:pPr>
        <w:pStyle w:val="Normal"/>
      </w:pPr>
      <w:r>
        <w:rPr/>
        <w:drawing>
          <wp:inline distT="0" distB="0" distL="0" distR="0">
            <wp:extent cx="5943600" cy="4572000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55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z w:val="20"/>
          <w:szCs w:val="20"/>
          <w:color w:val="000000"/>
        </w:rPr>
        <w:t xml:space="preserve">This map shows the street-segment units used in the study area.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Relationship Id="rId7" Type="http://schemas.openxmlformats.org/officeDocument/2006/relationships/image" Target="media/faab0319c3a136975f0413e5b6b9f4447563897d.png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2026-09-24T15:43:01Z</dcterms:modified>
  <cp:category/>
</cp:coreProperties>
</file>