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20"/>
          <w:szCs w:val="20"/>
          <w:color w:val="000000"/>
        </w:rPr>
        <w:t xml:space="preserve">Appendix 4: Graffiti observation status (N segments = 2392)</w:t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943600" cy="5029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This map shows which street segments were observed, excluded, or not observed.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02b686e871557496c911067189efb4864601a005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2026-09-24T15:43:04Z</dcterms:modified>
  <cp:category/>
</cp:coreProperties>
</file>