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5: Street-Segment Geometry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A5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Street-Segment Geometry by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0"/>
        <w:gridCol w:w="1637"/>
        <w:gridCol w:w="1379"/>
        <w:gridCol w:w="2392"/>
        <w:gridCol w:w="2005"/>
        <w:gridCol w:w="3018"/>
      </w:tblGrid>
      <w:tr>
        <w:trPr>
          <w:trHeight w:val="39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of segments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length (m)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Standard deviation of length (m)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area (square metres)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Standard deviation of area (square metres)</w:t>
            </w:r>
          </w:p>
        </w:tc>
      </w:tr>
      <w:tr>
        <w:trPr>
          <w:trHeight w:val="3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All segments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154.8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844.9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1,112.6</w:t>
            </w:r>
          </w:p>
        </w:tc>
      </w:tr>
      <w:tr>
        <w:trPr>
          <w:trHeight w:val="39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Observed 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1,111.5</w:t>
            </w:r>
          </w:p>
        </w:tc>
      </w:tr>
      <w:tr>
        <w:trPr>
          <w:trHeight w:val="39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Analytic focal segments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1,640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170.7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139.6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1,215.9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Length is the source street-segment LENGTE attribute; area is calculated from the polygon geometry. Neither measure describes writable surfaces.</w:t>
      </w:r>
    </w:p>
    <w:sectPr>
      <w:pgMar w:header="708" w:bottom="864" w:top="864" w:right="864" w:left="864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2026-09-24T15:43:09Z</dcterms:modified>
  <cp:category/>
</cp:coreProperties>
</file>