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8"/>
          <w:szCs w:val="28"/>
          <w:color w:val="000000"/>
        </w:rPr>
        <w:t xml:space="preserve">Appendix 6: Transformation Sensitivity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Table A6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Transformation Sensitivity for the Three Grouped Types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4"/>
        <w:gridCol w:w="1804"/>
        <w:gridCol w:w="1389"/>
        <w:gridCol w:w="1434"/>
        <w:gridCol w:w="1254"/>
        <w:gridCol w:w="766"/>
      </w:tblGrid>
      <w:tr>
        <w:trPr>
          <w:trHeight w:val="378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Transformation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Pair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Observed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null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SD null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4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.434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body12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SITS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.688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Note.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The lower co-presence pattern remains stable across transformations. Based on 1,000 Fixed-Fixed permutations.</w:t>
      </w:r>
    </w:p>
    <w:sectPr>
      <w:pgMar w:header="708" w:bottom="1440" w:top="1440" w:right="1440" w:left="1440" w:footer="708" w:gutter="0"/>
      <w:pgSz w:h="16838" w:w="11906" w:orient="portrait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2026-09-24T15:43:11Z</dcterms:modified>
  <cp:category/>
</cp:coreProperties>
</file>