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8: Six-Type Disaggregation Sensitivity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A8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Six-Type Disaggregation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4"/>
        <w:gridCol w:w="2223"/>
        <w:gridCol w:w="1389"/>
        <w:gridCol w:w="1434"/>
        <w:gridCol w:w="1254"/>
        <w:gridCol w:w="766"/>
      </w:tblGrid>
      <w:tr>
        <w:trPr>
          <w:trHeight w:val="3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Transformation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3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</w:tr>
      <w:tr>
        <w:trPr>
          <w:trHeight w:val="4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.245</w:t>
            </w:r>
          </w:p>
        </w:tc>
      </w:tr>
      <w:tr>
        <w:trPr>
          <w:trHeight w:val="4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.162</w:t>
            </w:r>
          </w:p>
        </w:tc>
      </w:tr>
      <w:tr>
        <w:trPr>
          <w:trHeight w:val="4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Illustration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.138</w:t>
            </w:r>
          </w:p>
        </w:tc>
      </w:tr>
      <w:tr>
        <w:trPr>
          <w:trHeight w:val="4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Slogan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Stencil vs Throw-up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body60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Throw-up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The overall pattern remains stable. Based on 1,000 Fixed-Fixed permutations.</w:t>
      </w:r>
    </w:p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2026-09-24T15:43:23Z</dcterms:modified>
  <cp:category/>
</cp:coreProperties>
</file>