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9: Sensitivity Including the Other Category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A9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Sensitivity Including the Other Category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4"/>
        <w:gridCol w:w="1843"/>
        <w:gridCol w:w="1389"/>
        <w:gridCol w:w="1434"/>
        <w:gridCol w:w="1254"/>
        <w:gridCol w:w="766"/>
      </w:tblGrid>
      <w:tr>
        <w:trPr>
          <w:trHeight w:val="3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Transformation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3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The main pairwise comparisons remain lower than expected. Based on 1,000 Fixed-Fixed permutations.</w:t>
      </w:r>
    </w:p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2026-09-24T15:43:26Z</dcterms:modified>
  <cp:category/>
</cp:coreProperties>
</file>