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8"/>
          <w:szCs w:val="28"/>
          <w:color w:val="000000"/>
        </w:rPr>
        <w:t xml:space="preserve">Appendix 11: Overpainting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Table A11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Overpainting Responses Among Analytic Graffiti Items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8"/>
        <w:gridCol w:w="1359"/>
        <w:gridCol w:w="1665"/>
        <w:gridCol w:w="854"/>
      </w:tblGrid>
      <w:tr>
        <w:trPr>
          <w:trHeight w:val="433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Graffiti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Overpainting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Not overpainting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Total</w:t>
            </w:r>
          </w:p>
        </w:tc>
      </w:tr>
      <w:tr>
        <w:trPr>
          <w:trHeight w:val="432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Masterpiece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179</w:t>
            </w:r>
          </w:p>
        </w:tc>
      </w:tr>
      <w:tr>
        <w:trPr>
          <w:trHeight w:val="41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2,375</w:t>
            </w:r>
          </w:p>
        </w:tc>
      </w:tr>
      <w:tr>
        <w:trPr>
          <w:trHeight w:val="42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10,543</w:t>
            </w:r>
          </w:p>
        </w:tc>
      </w:tr>
      <w:tr>
        <w:trPr>
          <w:trHeight w:val="433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All types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12,343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13,097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This table reports overwriting counts for the three analytical graffiti types. The overwriting field records whether a current item substantially overlaid earlier work. It does not identify the type of the covered work. The anonymized analysis file contains the finalized yes/no field; source blanks were recoded as no before this file was created.</w:t>
      </w:r>
    </w:p>
    <w:sectPr>
      <w:pgMar w:header="708" w:bottom="1440" w:top="1440" w:right="1440" w:left="1440" w:footer="708" w:gutter="0"/>
      <w:pgSz w:h="16838" w:w="11906" w:orient="portrait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2026-09-24T15:43:32Z</dcterms:modified>
  <cp:category/>
</cp:coreProperties>
</file>