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Numbers of Graffiti per Street Segment by Visual Complexity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8"/>
        <w:gridCol w:w="1104"/>
        <w:gridCol w:w="1137"/>
        <w:gridCol w:w="759"/>
        <w:gridCol w:w="754"/>
        <w:gridCol w:w="1220"/>
        <w:gridCol w:w="1181"/>
      </w:tblGrid>
      <w:tr>
        <w:trPr>
          <w:trHeight w:val="43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Graffiti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Minimum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Maximum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count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Percentage</w:t>
            </w:r>
          </w:p>
        </w:tc>
      </w:tr>
      <w:tr>
        <w:trPr>
          <w:trHeight w:val="432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Masterpiece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</w:t>
            </w:r>
          </w:p>
        </w:tc>
      </w:tr>
      <w:tr>
        <w:trPr>
          <w:trHeight w:val="4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18.13</w:t>
            </w:r>
          </w:p>
        </w:tc>
      </w:tr>
      <w:tr>
        <w:trPr>
          <w:trHeight w:val="42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Tag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10,543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80.50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N = 1,640 street segments.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2026-09-24T15:43:06Z</dcterms:modified>
  <cp:category/>
</cp:coreProperties>
</file>