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Results: Graffiti Perception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266"/>
        <w:gridCol w:w="1352"/>
        <w:gridCol w:w="105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0.0183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0.7452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0.0607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0.0163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0.3765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0.0196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0.4892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0.328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0.1; Conditional R²: 0.109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2025-07-20T16:43:04Z</dcterms:modified>
  <cp:category/>
</cp:coreProperties>
</file>