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Model Results: Graffiti Perception (Fixed Effects)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37"/>
        <w:gridCol w:w="1769"/>
        <w:gridCol w:w="1573"/>
        <w:gridCol w:w="1524"/>
        <w:gridCol w:w="2062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16.30909150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3.47613076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4.6917371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0.000003948544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-0.04991896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0.02104906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-2.3715534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0.018277602960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0.19814463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0.60929404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0.3252036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0.745233185196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7.49170971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3.98101466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1.8818594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0.060727492832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-13.95575848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5.77922970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-2.4148129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0.016276888714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3.61909812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2.82513856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1.2810338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0.201065427863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Middelbaar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3.01573942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3.40546382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0.8855591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0.376495094712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Hoger Onderwijs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2.00003228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3.38229538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0.5913240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0.554701799013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0.99249662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5.21529594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0.1903049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0.849185101918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woning/appartement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1.74156047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0.74267052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2.3449975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0.019610157400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0.96871071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1.39896303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0.6924491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0.489150551492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housingAnders: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2.51526288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1.58915837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1.5827641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0.114425532804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intercept variance (sector): 0.328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Marginal R²: 0.1; Conditional R²: 0.109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2025-07-20T16:43:18Z</dcterms:modified>
  <cp:category/>
</cp:coreProperties>
</file>