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Results: Graffiti Perception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7"/>
        <w:gridCol w:w="1266"/>
        <w:gridCol w:w="1352"/>
        <w:gridCol w:w="105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0.0183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0.7452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0.0607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0.0163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Middelbaar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0.3765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Hoger Onderwijs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0.5547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0.8492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woning/appartement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0.0196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0.4892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housingAnders: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intercept variance (sector): 0.328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R²: 0.1; Conditional R²: 0.109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2025-07-21T10:47:18Z</dcterms:modified>
  <cp:category/>
</cp:coreProperties>
</file>